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horzAnchor="margin" w:tblpY="-525"/>
        <w:tblW w:w="13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94"/>
        <w:gridCol w:w="2552"/>
        <w:gridCol w:w="3260"/>
        <w:gridCol w:w="3118"/>
        <w:gridCol w:w="2589"/>
        <w:gridCol w:w="38"/>
      </w:tblGrid>
      <w:tr w:rsidR="001A1FA4" w:rsidRPr="00BC5A7A" w:rsidTr="00DE32F9">
        <w:trPr>
          <w:trHeight w:val="703"/>
        </w:trPr>
        <w:tc>
          <w:tcPr>
            <w:tcW w:w="13751" w:type="dxa"/>
            <w:gridSpan w:val="6"/>
          </w:tcPr>
          <w:p w:rsidR="00A9362E" w:rsidRPr="004F672D" w:rsidRDefault="001A1FA4" w:rsidP="00DE32F9">
            <w:pPr>
              <w:jc w:val="both"/>
              <w:rPr>
                <w:rFonts w:cs="Arial"/>
                <w:b/>
                <w:sz w:val="20"/>
                <w:szCs w:val="20"/>
              </w:rPr>
            </w:pPr>
            <w:r w:rsidRPr="004F672D">
              <w:rPr>
                <w:rFonts w:cs="Arial"/>
                <w:b/>
                <w:sz w:val="20"/>
                <w:szCs w:val="20"/>
              </w:rPr>
              <w:t>CORTE CONSTITUCIONAL</w:t>
            </w:r>
            <w:r w:rsidR="004F672D" w:rsidRPr="004F672D">
              <w:rPr>
                <w:rFonts w:cs="Arial"/>
                <w:b/>
                <w:sz w:val="20"/>
                <w:szCs w:val="20"/>
              </w:rPr>
              <w:t xml:space="preserve"> </w:t>
            </w:r>
            <w:bookmarkStart w:id="0" w:name="_GoBack"/>
            <w:r w:rsidR="004F672D" w:rsidRPr="004F672D">
              <w:rPr>
                <w:rFonts w:cs="Arial"/>
                <w:b/>
                <w:sz w:val="20"/>
                <w:szCs w:val="20"/>
              </w:rPr>
              <w:t>SENTENCIA T-046/99</w:t>
            </w:r>
            <w:r w:rsidRPr="004F672D">
              <w:rPr>
                <w:rFonts w:cs="Arial"/>
                <w:b/>
                <w:sz w:val="20"/>
                <w:szCs w:val="20"/>
              </w:rPr>
              <w:t>.</w:t>
            </w:r>
            <w:bookmarkEnd w:id="0"/>
          </w:p>
          <w:p w:rsidR="00ED47D4" w:rsidRPr="004F672D" w:rsidRDefault="00A9362E" w:rsidP="00DE32F9">
            <w:pPr>
              <w:jc w:val="both"/>
              <w:rPr>
                <w:rFonts w:cs="Arial"/>
                <w:b/>
                <w:sz w:val="20"/>
                <w:szCs w:val="20"/>
              </w:rPr>
            </w:pPr>
            <w:r w:rsidRPr="004F672D">
              <w:rPr>
                <w:rFonts w:cs="Arial"/>
                <w:b/>
                <w:sz w:val="20"/>
                <w:szCs w:val="20"/>
              </w:rPr>
              <w:t xml:space="preserve">ACCION DE TUTELA </w:t>
            </w:r>
            <w:r w:rsidRPr="00324851">
              <w:rPr>
                <w:rFonts w:cs="Arial"/>
                <w:sz w:val="20"/>
                <w:szCs w:val="20"/>
              </w:rPr>
              <w:t xml:space="preserve">PARA LA PROTECION </w:t>
            </w:r>
            <w:r w:rsidR="004F672D" w:rsidRPr="00324851">
              <w:rPr>
                <w:rFonts w:cs="Arial"/>
                <w:sz w:val="20"/>
                <w:szCs w:val="20"/>
              </w:rPr>
              <w:t>DERECHOS FUNDAMENTALES A LA SALUD Y A LA VIDA, EN CONEXIDAD CON EL DERECHO A GOZAR DE UN MEDIO AMBIENTE SANO Y ECOLÓGICAMENTE EQUILIBRADO</w:t>
            </w:r>
          </w:p>
          <w:p w:rsidR="006C7B50" w:rsidRPr="004F672D" w:rsidRDefault="001A1FA4" w:rsidP="00DE32F9">
            <w:pPr>
              <w:jc w:val="both"/>
              <w:rPr>
                <w:rFonts w:cs="Arial"/>
                <w:b/>
                <w:sz w:val="20"/>
                <w:szCs w:val="20"/>
              </w:rPr>
            </w:pPr>
            <w:r w:rsidRPr="004F672D">
              <w:rPr>
                <w:rFonts w:cs="Arial"/>
                <w:b/>
                <w:sz w:val="20"/>
                <w:szCs w:val="20"/>
              </w:rPr>
              <w:t>ACCIONANTE:</w:t>
            </w:r>
            <w:r w:rsidR="006C7B50" w:rsidRPr="004F672D">
              <w:rPr>
                <w:rFonts w:cs="Arial"/>
                <w:b/>
                <w:sz w:val="20"/>
                <w:szCs w:val="20"/>
              </w:rPr>
              <w:t xml:space="preserve"> </w:t>
            </w:r>
            <w:r w:rsidR="004F672D" w:rsidRPr="00324851">
              <w:rPr>
                <w:rFonts w:cs="Arial"/>
                <w:sz w:val="20"/>
                <w:szCs w:val="20"/>
              </w:rPr>
              <w:t>RICARDO CORREAL MORILLO, DIRECTOR (E) DE LA DIRECCIÓN NACIONAL DE RECURSOS Y ACCIONES JUDICIALES DE LA DEFENSORÍA DEL PUEBLO.</w:t>
            </w:r>
          </w:p>
          <w:p w:rsidR="006C7B50" w:rsidRPr="004F672D" w:rsidRDefault="001A1FA4" w:rsidP="00DE32F9">
            <w:pPr>
              <w:jc w:val="both"/>
              <w:rPr>
                <w:rFonts w:cs="Arial"/>
                <w:b/>
                <w:sz w:val="20"/>
                <w:szCs w:val="20"/>
              </w:rPr>
            </w:pPr>
            <w:r w:rsidRPr="004F672D">
              <w:rPr>
                <w:rFonts w:cs="Arial"/>
                <w:b/>
                <w:sz w:val="20"/>
                <w:szCs w:val="20"/>
              </w:rPr>
              <w:t>ACCIONADO:</w:t>
            </w:r>
            <w:r w:rsidR="006C7B50" w:rsidRPr="004F672D">
              <w:rPr>
                <w:rFonts w:cs="Arial"/>
                <w:b/>
                <w:sz w:val="20"/>
                <w:szCs w:val="20"/>
              </w:rPr>
              <w:t xml:space="preserve"> </w:t>
            </w:r>
            <w:r w:rsidR="004F672D" w:rsidRPr="00324851">
              <w:rPr>
                <w:rFonts w:cs="Arial"/>
                <w:sz w:val="20"/>
                <w:szCs w:val="20"/>
              </w:rPr>
              <w:t>C.I. PRODECO PRODUCTOS DE COLOMBIA S.A. -C.I. PRODECO S.A.-.</w:t>
            </w:r>
          </w:p>
          <w:p w:rsidR="006C7B50" w:rsidRPr="004F672D" w:rsidRDefault="006C7B50" w:rsidP="00DE32F9">
            <w:pPr>
              <w:jc w:val="both"/>
              <w:rPr>
                <w:rFonts w:cs="Arial"/>
                <w:b/>
                <w:sz w:val="20"/>
                <w:szCs w:val="20"/>
              </w:rPr>
            </w:pPr>
            <w:r w:rsidRPr="004F672D">
              <w:rPr>
                <w:rFonts w:cs="Arial"/>
                <w:b/>
                <w:sz w:val="20"/>
                <w:szCs w:val="20"/>
              </w:rPr>
              <w:t>REFERENCIA EXPEDIENTE</w:t>
            </w:r>
            <w:r w:rsidR="001A1FA4" w:rsidRPr="004F672D">
              <w:rPr>
                <w:rFonts w:cs="Arial"/>
                <w:b/>
                <w:sz w:val="20"/>
                <w:szCs w:val="20"/>
              </w:rPr>
              <w:t>:</w:t>
            </w:r>
            <w:r w:rsidRPr="004F672D">
              <w:rPr>
                <w:rFonts w:cs="Arial"/>
                <w:b/>
                <w:sz w:val="20"/>
                <w:szCs w:val="20"/>
              </w:rPr>
              <w:t xml:space="preserve"> </w:t>
            </w:r>
            <w:r w:rsidR="001A1FA4" w:rsidRPr="004F672D">
              <w:rPr>
                <w:rFonts w:cs="Arial"/>
                <w:b/>
                <w:sz w:val="20"/>
                <w:szCs w:val="20"/>
              </w:rPr>
              <w:t xml:space="preserve"> </w:t>
            </w:r>
            <w:r w:rsidR="004F672D" w:rsidRPr="00324851">
              <w:rPr>
                <w:rFonts w:cs="Arial"/>
                <w:sz w:val="20"/>
                <w:szCs w:val="20"/>
              </w:rPr>
              <w:t>T-183.139.</w:t>
            </w:r>
          </w:p>
          <w:p w:rsidR="00A9362E" w:rsidRPr="00BC5A7A" w:rsidRDefault="006C7B50" w:rsidP="00DE32F9">
            <w:pPr>
              <w:jc w:val="both"/>
              <w:rPr>
                <w:rFonts w:cs="Arial"/>
                <w:color w:val="FF0000"/>
                <w:sz w:val="20"/>
                <w:szCs w:val="20"/>
              </w:rPr>
            </w:pPr>
            <w:r w:rsidRPr="004F672D">
              <w:rPr>
                <w:rFonts w:cs="Arial"/>
                <w:b/>
                <w:sz w:val="20"/>
                <w:szCs w:val="20"/>
              </w:rPr>
              <w:t>BOGOTA D.C</w:t>
            </w:r>
            <w:r w:rsidR="001A1FA4" w:rsidRPr="004F672D">
              <w:rPr>
                <w:rFonts w:cs="Arial"/>
                <w:b/>
                <w:sz w:val="20"/>
                <w:szCs w:val="20"/>
              </w:rPr>
              <w:t>.</w:t>
            </w:r>
            <w:r w:rsidR="004F672D" w:rsidRPr="004F672D">
              <w:rPr>
                <w:rFonts w:cs="Arial"/>
                <w:b/>
                <w:sz w:val="20"/>
                <w:szCs w:val="20"/>
              </w:rPr>
              <w:t xml:space="preserve"> VEINTINUEVE</w:t>
            </w:r>
            <w:r w:rsidRPr="004F672D">
              <w:rPr>
                <w:rFonts w:cs="Arial"/>
                <w:b/>
                <w:sz w:val="20"/>
                <w:szCs w:val="20"/>
              </w:rPr>
              <w:t xml:space="preserve"> (2</w:t>
            </w:r>
            <w:r w:rsidR="004F672D" w:rsidRPr="004F672D">
              <w:rPr>
                <w:rFonts w:cs="Arial"/>
                <w:b/>
                <w:sz w:val="20"/>
                <w:szCs w:val="20"/>
              </w:rPr>
              <w:t>9</w:t>
            </w:r>
            <w:r w:rsidRPr="004F672D">
              <w:rPr>
                <w:rFonts w:cs="Arial"/>
                <w:b/>
                <w:sz w:val="20"/>
                <w:szCs w:val="20"/>
              </w:rPr>
              <w:t xml:space="preserve">) DE </w:t>
            </w:r>
            <w:r w:rsidR="004F672D" w:rsidRPr="004F672D">
              <w:rPr>
                <w:rFonts w:cs="Arial"/>
                <w:b/>
                <w:sz w:val="20"/>
                <w:szCs w:val="20"/>
              </w:rPr>
              <w:t>ENERO DE</w:t>
            </w:r>
            <w:r w:rsidRPr="004F672D">
              <w:rPr>
                <w:rFonts w:cs="Arial"/>
                <w:b/>
                <w:sz w:val="20"/>
                <w:szCs w:val="20"/>
              </w:rPr>
              <w:t xml:space="preserve"> </w:t>
            </w:r>
            <w:r w:rsidR="004F672D" w:rsidRPr="004F672D">
              <w:rPr>
                <w:rFonts w:cs="Arial"/>
                <w:b/>
                <w:sz w:val="20"/>
                <w:szCs w:val="20"/>
              </w:rPr>
              <w:t>MIL NOVECIENTOS NOVENTA Y NUEVE</w:t>
            </w:r>
            <w:r w:rsidRPr="004F672D">
              <w:rPr>
                <w:rFonts w:cs="Arial"/>
                <w:b/>
                <w:sz w:val="20"/>
                <w:szCs w:val="20"/>
              </w:rPr>
              <w:t xml:space="preserve"> (</w:t>
            </w:r>
            <w:r w:rsidR="004F672D" w:rsidRPr="004F672D">
              <w:rPr>
                <w:rFonts w:cs="Arial"/>
                <w:b/>
                <w:sz w:val="20"/>
                <w:szCs w:val="20"/>
              </w:rPr>
              <w:t>1999</w:t>
            </w:r>
            <w:r w:rsidRPr="004F672D">
              <w:rPr>
                <w:rFonts w:cs="Arial"/>
                <w:b/>
                <w:sz w:val="20"/>
                <w:szCs w:val="20"/>
              </w:rPr>
              <w:t>)</w:t>
            </w:r>
            <w:r w:rsidR="001A1FA4" w:rsidRPr="004F672D">
              <w:rPr>
                <w:rFonts w:cs="Arial"/>
                <w:b/>
                <w:sz w:val="20"/>
                <w:szCs w:val="20"/>
              </w:rPr>
              <w:t>.</w:t>
            </w:r>
          </w:p>
        </w:tc>
      </w:tr>
      <w:tr w:rsidR="001A1FA4" w:rsidRPr="00BC5A7A" w:rsidTr="00DE32F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gridAfter w:val="1"/>
          <w:wAfter w:w="38" w:type="dxa"/>
          <w:trHeight w:val="450"/>
        </w:trPr>
        <w:tc>
          <w:tcPr>
            <w:tcW w:w="13713" w:type="dxa"/>
            <w:gridSpan w:val="5"/>
          </w:tcPr>
          <w:p w:rsidR="00A9362E" w:rsidRPr="001658E7" w:rsidRDefault="008B4876" w:rsidP="00DE32F9">
            <w:pPr>
              <w:jc w:val="both"/>
              <w:rPr>
                <w:rFonts w:cs="Arial"/>
                <w:b/>
                <w:sz w:val="20"/>
                <w:szCs w:val="20"/>
              </w:rPr>
            </w:pPr>
            <w:r>
              <w:rPr>
                <w:rFonts w:cs="Arial"/>
                <w:b/>
                <w:sz w:val="20"/>
                <w:szCs w:val="20"/>
              </w:rPr>
              <w:t>PROBLEMA JURÍ</w:t>
            </w:r>
            <w:r w:rsidR="00A9362E" w:rsidRPr="001658E7">
              <w:rPr>
                <w:rFonts w:cs="Arial"/>
                <w:b/>
                <w:sz w:val="20"/>
                <w:szCs w:val="20"/>
              </w:rPr>
              <w:t>DICO:</w:t>
            </w:r>
            <w:r w:rsidR="001A1FA4" w:rsidRPr="001658E7">
              <w:rPr>
                <w:rFonts w:cs="Arial"/>
                <w:b/>
                <w:sz w:val="20"/>
                <w:szCs w:val="20"/>
              </w:rPr>
              <w:t xml:space="preserve"> </w:t>
            </w:r>
            <w:r w:rsidR="001A1FA4" w:rsidRPr="001658E7">
              <w:rPr>
                <w:rFonts w:cs="Arial"/>
                <w:sz w:val="20"/>
                <w:szCs w:val="20"/>
              </w:rPr>
              <w:t>S</w:t>
            </w:r>
            <w:r w:rsidR="00D042F1" w:rsidRPr="001658E7">
              <w:rPr>
                <w:rFonts w:cs="Arial"/>
                <w:sz w:val="20"/>
                <w:szCs w:val="20"/>
              </w:rPr>
              <w:t>e gener</w:t>
            </w:r>
            <w:r w:rsidR="00D22948" w:rsidRPr="001658E7">
              <w:rPr>
                <w:rFonts w:cs="Arial"/>
                <w:sz w:val="20"/>
                <w:szCs w:val="20"/>
              </w:rPr>
              <w:t>a un</w:t>
            </w:r>
            <w:r w:rsidR="001658E7" w:rsidRPr="001658E7">
              <w:rPr>
                <w:rFonts w:cs="Arial"/>
                <w:sz w:val="20"/>
                <w:szCs w:val="20"/>
              </w:rPr>
              <w:t xml:space="preserve"> diferendo jurídico</w:t>
            </w:r>
            <w:r w:rsidR="00D22948" w:rsidRPr="001658E7">
              <w:rPr>
                <w:rFonts w:cs="Arial"/>
                <w:sz w:val="20"/>
                <w:szCs w:val="20"/>
              </w:rPr>
              <w:t xml:space="preserve"> </w:t>
            </w:r>
            <w:r w:rsidR="001658E7" w:rsidRPr="001658E7">
              <w:rPr>
                <w:rFonts w:cs="Arial"/>
                <w:sz w:val="20"/>
                <w:szCs w:val="20"/>
              </w:rPr>
              <w:t>en razón a que la actividad de transporte, almacenamiento y embarque de carbón de parte de la empresa C.I. PRODECO PRODUCTOS DE COLOMBIA S.A. -C.I. PRODECO S.A,</w:t>
            </w:r>
            <w:r w:rsidR="00D22948" w:rsidRPr="001658E7">
              <w:rPr>
                <w:rFonts w:cs="Arial"/>
                <w:sz w:val="20"/>
                <w:szCs w:val="20"/>
              </w:rPr>
              <w:t xml:space="preserve"> causa</w:t>
            </w:r>
            <w:r w:rsidR="001658E7" w:rsidRPr="001658E7">
              <w:rPr>
                <w:rFonts w:cs="Arial"/>
                <w:sz w:val="20"/>
                <w:szCs w:val="20"/>
              </w:rPr>
              <w:t xml:space="preserve"> problemas de salud a los habitantes de la Zona aledaña a las instalaciones de la empresa ubicada en la ciudad de Santa Marta por la emisión del polvillo del carbón al medio ambiente al igual que el hundimiento de barcazas transportadoras.</w:t>
            </w:r>
            <w:r w:rsidR="001658E7" w:rsidRPr="001658E7">
              <w:rPr>
                <w:rFonts w:cs="Arial"/>
                <w:b/>
                <w:sz w:val="20"/>
                <w:szCs w:val="20"/>
              </w:rPr>
              <w:t xml:space="preserve"> </w:t>
            </w:r>
            <w:r w:rsidR="00D22948" w:rsidRPr="001658E7">
              <w:rPr>
                <w:rFonts w:cs="Arial"/>
                <w:b/>
                <w:sz w:val="20"/>
                <w:szCs w:val="20"/>
              </w:rPr>
              <w:t xml:space="preserve"> </w:t>
            </w:r>
          </w:p>
        </w:tc>
      </w:tr>
      <w:tr w:rsidR="007F6E9C" w:rsidRPr="00BC5A7A" w:rsidTr="00DE32F9">
        <w:trPr>
          <w:trHeight w:val="536"/>
        </w:trPr>
        <w:tc>
          <w:tcPr>
            <w:tcW w:w="2194" w:type="dxa"/>
          </w:tcPr>
          <w:p w:rsidR="00324851" w:rsidRPr="00501921" w:rsidRDefault="00324851" w:rsidP="00DE32F9">
            <w:pPr>
              <w:rPr>
                <w:rFonts w:cs="Arial"/>
                <w:b/>
                <w:sz w:val="20"/>
                <w:szCs w:val="20"/>
              </w:rPr>
            </w:pPr>
          </w:p>
          <w:p w:rsidR="00A9362E" w:rsidRPr="00501921" w:rsidRDefault="00CE62D1" w:rsidP="00DE32F9">
            <w:pPr>
              <w:jc w:val="center"/>
              <w:rPr>
                <w:rFonts w:cs="Arial"/>
                <w:b/>
                <w:sz w:val="20"/>
                <w:szCs w:val="20"/>
              </w:rPr>
            </w:pPr>
            <w:r w:rsidRPr="00501921">
              <w:rPr>
                <w:rFonts w:cs="Arial"/>
                <w:b/>
                <w:sz w:val="20"/>
                <w:szCs w:val="20"/>
              </w:rPr>
              <w:t>HECHOS</w:t>
            </w:r>
          </w:p>
        </w:tc>
        <w:tc>
          <w:tcPr>
            <w:tcW w:w="2552" w:type="dxa"/>
          </w:tcPr>
          <w:p w:rsidR="00BC5A7A" w:rsidRPr="00501921" w:rsidRDefault="00BC5A7A" w:rsidP="00DE32F9">
            <w:pPr>
              <w:jc w:val="center"/>
              <w:rPr>
                <w:rFonts w:cs="Arial"/>
                <w:b/>
                <w:bCs/>
                <w:sz w:val="20"/>
                <w:szCs w:val="20"/>
              </w:rPr>
            </w:pPr>
            <w:r w:rsidRPr="00501921">
              <w:rPr>
                <w:rFonts w:cs="Arial"/>
                <w:b/>
                <w:bCs/>
                <w:sz w:val="20"/>
                <w:szCs w:val="20"/>
              </w:rPr>
              <w:t>RESPUESTA DE:</w:t>
            </w:r>
            <w:r w:rsidR="0050592C" w:rsidRPr="00501921">
              <w:rPr>
                <w:rFonts w:cs="Arial"/>
                <w:b/>
                <w:bCs/>
                <w:sz w:val="20"/>
                <w:szCs w:val="20"/>
              </w:rPr>
              <w:t xml:space="preserve"> </w:t>
            </w:r>
            <w:r w:rsidR="00324851" w:rsidRPr="00501921">
              <w:rPr>
                <w:rFonts w:cs="Arial"/>
                <w:b/>
                <w:sz w:val="20"/>
                <w:szCs w:val="20"/>
              </w:rPr>
              <w:t xml:space="preserve">C.I. PRODECO PRODUCTOS DE COLOMBIA S.A. -C.I. PRODECO </w:t>
            </w:r>
            <w:r w:rsidR="008B4876" w:rsidRPr="00501921">
              <w:rPr>
                <w:rFonts w:cs="Arial"/>
                <w:b/>
                <w:sz w:val="20"/>
                <w:szCs w:val="20"/>
              </w:rPr>
              <w:t>S. A</w:t>
            </w:r>
          </w:p>
        </w:tc>
        <w:tc>
          <w:tcPr>
            <w:tcW w:w="3260" w:type="dxa"/>
          </w:tcPr>
          <w:p w:rsidR="0050592C" w:rsidRDefault="00BC5A7A" w:rsidP="00DE32F9">
            <w:pPr>
              <w:jc w:val="center"/>
              <w:rPr>
                <w:rFonts w:cs="Arial"/>
                <w:b/>
                <w:bCs/>
                <w:sz w:val="20"/>
                <w:szCs w:val="20"/>
              </w:rPr>
            </w:pPr>
            <w:r w:rsidRPr="00324851">
              <w:rPr>
                <w:rFonts w:cs="Arial"/>
                <w:b/>
                <w:bCs/>
                <w:sz w:val="20"/>
                <w:szCs w:val="20"/>
              </w:rPr>
              <w:t>SENTENCIA</w:t>
            </w:r>
            <w:r w:rsidR="0050592C">
              <w:rPr>
                <w:rFonts w:cs="Arial"/>
                <w:b/>
                <w:bCs/>
                <w:sz w:val="20"/>
                <w:szCs w:val="20"/>
              </w:rPr>
              <w:t xml:space="preserve"> PRIMERA Y SEGUNDA INSTANCIA</w:t>
            </w:r>
          </w:p>
          <w:p w:rsidR="00A9362E" w:rsidRDefault="0050592C" w:rsidP="00DE32F9">
            <w:pPr>
              <w:rPr>
                <w:rFonts w:cs="Arial"/>
                <w:b/>
                <w:bCs/>
                <w:sz w:val="20"/>
                <w:szCs w:val="20"/>
              </w:rPr>
            </w:pPr>
            <w:r>
              <w:rPr>
                <w:rFonts w:cs="Arial"/>
                <w:b/>
                <w:bCs/>
                <w:sz w:val="20"/>
                <w:szCs w:val="20"/>
              </w:rPr>
              <w:t>- TRI. SUP.</w:t>
            </w:r>
            <w:r w:rsidR="00855384" w:rsidRPr="0050592C">
              <w:rPr>
                <w:rFonts w:cs="Arial"/>
                <w:b/>
                <w:bCs/>
                <w:sz w:val="20"/>
                <w:szCs w:val="20"/>
              </w:rPr>
              <w:t xml:space="preserve"> DE </w:t>
            </w:r>
            <w:r w:rsidR="00324851" w:rsidRPr="0050592C">
              <w:rPr>
                <w:rFonts w:cs="Arial"/>
                <w:b/>
                <w:bCs/>
                <w:sz w:val="20"/>
                <w:szCs w:val="20"/>
              </w:rPr>
              <w:t>SANTA MARTA</w:t>
            </w:r>
            <w:r w:rsidR="00855384" w:rsidRPr="0050592C">
              <w:rPr>
                <w:rFonts w:cs="Arial"/>
                <w:b/>
                <w:bCs/>
                <w:sz w:val="20"/>
                <w:szCs w:val="20"/>
              </w:rPr>
              <w:t>.</w:t>
            </w:r>
          </w:p>
          <w:p w:rsidR="0050592C" w:rsidRPr="0050592C" w:rsidRDefault="0050592C" w:rsidP="00DE32F9">
            <w:pPr>
              <w:rPr>
                <w:rFonts w:cs="Arial"/>
                <w:sz w:val="20"/>
                <w:szCs w:val="20"/>
              </w:rPr>
            </w:pPr>
            <w:r>
              <w:rPr>
                <w:rFonts w:cs="Arial"/>
                <w:b/>
                <w:bCs/>
                <w:sz w:val="20"/>
                <w:szCs w:val="20"/>
              </w:rPr>
              <w:t>- C.S.J. SALA PENAL</w:t>
            </w:r>
          </w:p>
        </w:tc>
        <w:tc>
          <w:tcPr>
            <w:tcW w:w="3118" w:type="dxa"/>
          </w:tcPr>
          <w:p w:rsidR="0050592C" w:rsidRDefault="0050592C" w:rsidP="00DE32F9">
            <w:pPr>
              <w:jc w:val="center"/>
              <w:rPr>
                <w:rFonts w:cs="Arial"/>
                <w:b/>
                <w:bCs/>
                <w:sz w:val="20"/>
                <w:szCs w:val="20"/>
              </w:rPr>
            </w:pPr>
          </w:p>
          <w:p w:rsidR="00A9362E" w:rsidRPr="00324851" w:rsidRDefault="005845EB" w:rsidP="00DE32F9">
            <w:pPr>
              <w:jc w:val="center"/>
              <w:rPr>
                <w:rFonts w:cs="Arial"/>
                <w:sz w:val="20"/>
                <w:szCs w:val="20"/>
              </w:rPr>
            </w:pPr>
            <w:r w:rsidRPr="00324851">
              <w:rPr>
                <w:rFonts w:cs="Arial"/>
                <w:b/>
                <w:bCs/>
                <w:sz w:val="20"/>
                <w:szCs w:val="20"/>
              </w:rPr>
              <w:t>CONSIDERACIONES DE LA CORTE CONSTITUCIONAL</w:t>
            </w:r>
          </w:p>
        </w:tc>
        <w:tc>
          <w:tcPr>
            <w:tcW w:w="2627" w:type="dxa"/>
            <w:gridSpan w:val="2"/>
          </w:tcPr>
          <w:p w:rsidR="007E4AED" w:rsidRDefault="007E4AED" w:rsidP="00DE32F9">
            <w:pPr>
              <w:jc w:val="center"/>
              <w:rPr>
                <w:rFonts w:cs="Arial"/>
                <w:b/>
                <w:sz w:val="20"/>
                <w:szCs w:val="20"/>
              </w:rPr>
            </w:pPr>
          </w:p>
          <w:p w:rsidR="00A9362E" w:rsidRPr="00324851" w:rsidRDefault="00EA5606" w:rsidP="00DE32F9">
            <w:pPr>
              <w:jc w:val="center"/>
              <w:rPr>
                <w:rFonts w:cs="Arial"/>
                <w:b/>
                <w:sz w:val="20"/>
                <w:szCs w:val="20"/>
              </w:rPr>
            </w:pPr>
            <w:r w:rsidRPr="00324851">
              <w:rPr>
                <w:rFonts w:cs="Arial"/>
                <w:b/>
                <w:sz w:val="20"/>
                <w:szCs w:val="20"/>
              </w:rPr>
              <w:t>FALL</w:t>
            </w:r>
            <w:r w:rsidR="001C37F4" w:rsidRPr="00324851">
              <w:rPr>
                <w:rFonts w:cs="Arial"/>
                <w:b/>
                <w:sz w:val="20"/>
                <w:szCs w:val="20"/>
              </w:rPr>
              <w:t>O</w:t>
            </w:r>
          </w:p>
        </w:tc>
      </w:tr>
      <w:tr w:rsidR="007F6E9C" w:rsidRPr="00BC5A7A" w:rsidTr="00DE32F9">
        <w:trPr>
          <w:trHeight w:val="4101"/>
        </w:trPr>
        <w:tc>
          <w:tcPr>
            <w:tcW w:w="2194" w:type="dxa"/>
          </w:tcPr>
          <w:p w:rsidR="007F6E9C" w:rsidRPr="007F6E9C" w:rsidRDefault="007F6E9C" w:rsidP="00DE32F9">
            <w:pPr>
              <w:jc w:val="both"/>
              <w:rPr>
                <w:rFonts w:cs="Arial"/>
                <w:sz w:val="20"/>
                <w:szCs w:val="20"/>
              </w:rPr>
            </w:pPr>
            <w:r w:rsidRPr="007F6E9C">
              <w:rPr>
                <w:rFonts w:cs="Arial"/>
                <w:sz w:val="20"/>
                <w:szCs w:val="20"/>
              </w:rPr>
              <w:t>En la zona turística de Santa Marta, cerca del aeropuerto Simón Bolívar, la compañía C.I. PRODECO PRODUCTOS DE COLOMBIA S.A. -C.I. PRODECO S.A-. tiene un terminal portuario, con un área de 62 hectáreas, en donde se desarrollan las actividades de recepción, manejo y embarque de carbón.</w:t>
            </w:r>
          </w:p>
          <w:p w:rsidR="007F6E9C" w:rsidRPr="007F6E9C" w:rsidRDefault="007F6E9C" w:rsidP="00DE32F9">
            <w:pPr>
              <w:jc w:val="both"/>
              <w:rPr>
                <w:rFonts w:cs="Arial"/>
                <w:sz w:val="20"/>
                <w:szCs w:val="20"/>
              </w:rPr>
            </w:pPr>
            <w:r w:rsidRPr="007F6E9C">
              <w:rPr>
                <w:rFonts w:cs="Arial"/>
                <w:sz w:val="20"/>
                <w:szCs w:val="20"/>
              </w:rPr>
              <w:t xml:space="preserve">Esta empresa adoptó tecnologías modernas y adecuadas para evitar los posibles efectos ambientales nocivos a los habitantes, pero al realizar el transporte entre las minas de carbón </w:t>
            </w:r>
            <w:r w:rsidRPr="007F6E9C">
              <w:rPr>
                <w:rFonts w:cs="Arial"/>
                <w:sz w:val="20"/>
                <w:szCs w:val="20"/>
              </w:rPr>
              <w:lastRenderedPageBreak/>
              <w:t>y el puerto carbonífero de Santa Marta, se presenta diseminación de partículas de dicho mineral.</w:t>
            </w:r>
          </w:p>
          <w:p w:rsidR="007F6E9C" w:rsidRPr="007F6E9C" w:rsidRDefault="007F6E9C" w:rsidP="00DE32F9">
            <w:pPr>
              <w:jc w:val="both"/>
              <w:rPr>
                <w:rFonts w:cs="Arial"/>
                <w:sz w:val="20"/>
                <w:szCs w:val="20"/>
              </w:rPr>
            </w:pPr>
            <w:r w:rsidRPr="007F6E9C">
              <w:rPr>
                <w:rFonts w:cs="Arial"/>
                <w:sz w:val="20"/>
                <w:szCs w:val="20"/>
              </w:rPr>
              <w:t xml:space="preserve">Así mismo, </w:t>
            </w:r>
            <w:r>
              <w:rPr>
                <w:rFonts w:cs="Arial"/>
                <w:sz w:val="20"/>
                <w:szCs w:val="20"/>
              </w:rPr>
              <w:t>denuncian accidentes de las</w:t>
            </w:r>
            <w:r w:rsidRPr="007F6E9C">
              <w:rPr>
                <w:rFonts w:cs="Arial"/>
                <w:sz w:val="20"/>
                <w:szCs w:val="20"/>
              </w:rPr>
              <w:t xml:space="preserve"> tractomulas transportadoras del </w:t>
            </w:r>
            <w:r>
              <w:rPr>
                <w:rFonts w:cs="Arial"/>
                <w:sz w:val="20"/>
                <w:szCs w:val="20"/>
              </w:rPr>
              <w:t>carbón</w:t>
            </w:r>
            <w:r w:rsidRPr="007F6E9C">
              <w:rPr>
                <w:rFonts w:cs="Arial"/>
                <w:sz w:val="20"/>
                <w:szCs w:val="20"/>
              </w:rPr>
              <w:t xml:space="preserve">, la contaminación durante el cargue de las barcazas y buques en la zona portuaria, </w:t>
            </w:r>
            <w:r>
              <w:rPr>
                <w:rFonts w:cs="Arial"/>
                <w:sz w:val="20"/>
                <w:szCs w:val="20"/>
              </w:rPr>
              <w:t>el</w:t>
            </w:r>
            <w:r w:rsidRPr="007F6E9C">
              <w:rPr>
                <w:rFonts w:cs="Arial"/>
                <w:sz w:val="20"/>
                <w:szCs w:val="20"/>
              </w:rPr>
              <w:t xml:space="preserve"> hundimiento, </w:t>
            </w:r>
            <w:r>
              <w:rPr>
                <w:rFonts w:cs="Arial"/>
                <w:sz w:val="20"/>
                <w:szCs w:val="20"/>
              </w:rPr>
              <w:t>de</w:t>
            </w:r>
            <w:r w:rsidRPr="007F6E9C">
              <w:rPr>
                <w:rFonts w:cs="Arial"/>
                <w:sz w:val="20"/>
                <w:szCs w:val="20"/>
              </w:rPr>
              <w:t xml:space="preserve"> 2 barcazas transportadoras</w:t>
            </w:r>
            <w:r>
              <w:rPr>
                <w:rFonts w:cs="Arial"/>
                <w:sz w:val="20"/>
                <w:szCs w:val="20"/>
              </w:rPr>
              <w:t xml:space="preserve"> generando </w:t>
            </w:r>
            <w:r w:rsidRPr="007F6E9C">
              <w:rPr>
                <w:rFonts w:cs="Arial"/>
                <w:sz w:val="20"/>
                <w:szCs w:val="20"/>
              </w:rPr>
              <w:t>daños ambientales en la flora y la fauna marina</w:t>
            </w:r>
            <w:r>
              <w:rPr>
                <w:rFonts w:cs="Arial"/>
                <w:sz w:val="20"/>
                <w:szCs w:val="20"/>
              </w:rPr>
              <w:t xml:space="preserve"> entre otras situaciones.</w:t>
            </w:r>
          </w:p>
          <w:p w:rsidR="007F6E9C" w:rsidRPr="007F6E9C" w:rsidRDefault="007F6E9C" w:rsidP="00DE32F9">
            <w:pPr>
              <w:jc w:val="both"/>
              <w:rPr>
                <w:rFonts w:cs="Arial"/>
                <w:sz w:val="20"/>
                <w:szCs w:val="20"/>
              </w:rPr>
            </w:pPr>
          </w:p>
          <w:p w:rsidR="002646FE" w:rsidRPr="007F6E9C" w:rsidRDefault="002646FE" w:rsidP="00DE32F9">
            <w:pPr>
              <w:jc w:val="both"/>
              <w:rPr>
                <w:rFonts w:cs="Arial"/>
                <w:sz w:val="20"/>
                <w:szCs w:val="20"/>
              </w:rPr>
            </w:pPr>
          </w:p>
        </w:tc>
        <w:tc>
          <w:tcPr>
            <w:tcW w:w="2552" w:type="dxa"/>
          </w:tcPr>
          <w:p w:rsidR="0033035B" w:rsidRPr="007F6E9C" w:rsidRDefault="0033035B" w:rsidP="00DE32F9">
            <w:pPr>
              <w:jc w:val="both"/>
              <w:rPr>
                <w:rFonts w:cs="Arial"/>
                <w:sz w:val="20"/>
                <w:szCs w:val="20"/>
              </w:rPr>
            </w:pPr>
            <w:r w:rsidRPr="0033035B">
              <w:rPr>
                <w:rFonts w:cs="Arial"/>
                <w:sz w:val="20"/>
                <w:szCs w:val="20"/>
              </w:rPr>
              <w:lastRenderedPageBreak/>
              <w:t>La empresa se opuso a las pretensiones de la demanda manifestando que la acción de tutela es improcedente, dado que lo que se pretende proteger son derechos colectivos y controvertir actos generales, impersonales y abstractos, como ocurre en el presente caso. En su criterio, la Defensoría del Pueblo sólo podía solicitar la tutela de derechos fundamentales, relacionados con derechos colectivos como el medio ambiente, de haberlos individualizados en cabeza de sus representados, pues lo contrario implicaría una defensa e</w:t>
            </w:r>
            <w:r w:rsidRPr="007F6E9C">
              <w:rPr>
                <w:rFonts w:cs="Arial"/>
                <w:sz w:val="20"/>
                <w:szCs w:val="20"/>
              </w:rPr>
              <w:t xml:space="preserve">n abstracto, propia del ejercicio de la acción </w:t>
            </w:r>
            <w:r w:rsidRPr="007F6E9C">
              <w:rPr>
                <w:rFonts w:cs="Arial"/>
                <w:sz w:val="20"/>
                <w:szCs w:val="20"/>
              </w:rPr>
              <w:lastRenderedPageBreak/>
              <w:t xml:space="preserve">popular. </w:t>
            </w:r>
            <w:r w:rsidR="007F6E9C" w:rsidRPr="007F6E9C">
              <w:rPr>
                <w:rFonts w:cs="Arial"/>
                <w:sz w:val="20"/>
                <w:szCs w:val="20"/>
              </w:rPr>
              <w:t>Así</w:t>
            </w:r>
            <w:r w:rsidRPr="007F6E9C">
              <w:rPr>
                <w:rFonts w:cs="Arial"/>
                <w:sz w:val="20"/>
                <w:szCs w:val="20"/>
              </w:rPr>
              <w:t xml:space="preserve"> mismo la empresa argumentó que el ejercicio de la actividad social de C.I. PRODECO S.A. se realiza de conformidad con la normatividad vigente en materia de uso del suelo, operación y funcionamiento, transporte terrestre del mineral, límites permitidos de emisión de partículas en el aire, control ambiental, emisiones atmosféricas.</w:t>
            </w:r>
          </w:p>
          <w:p w:rsidR="007F6E9C" w:rsidRPr="007F6E9C" w:rsidRDefault="007F6E9C" w:rsidP="00DE32F9">
            <w:pPr>
              <w:jc w:val="both"/>
              <w:rPr>
                <w:rFonts w:cs="Arial"/>
                <w:sz w:val="20"/>
                <w:szCs w:val="20"/>
              </w:rPr>
            </w:pPr>
            <w:r>
              <w:rPr>
                <w:rFonts w:cs="Arial"/>
                <w:sz w:val="20"/>
                <w:szCs w:val="20"/>
              </w:rPr>
              <w:t>Finalmente</w:t>
            </w:r>
            <w:r w:rsidR="0033035B" w:rsidRPr="007F6E9C">
              <w:rPr>
                <w:rFonts w:cs="Arial"/>
                <w:sz w:val="20"/>
                <w:szCs w:val="20"/>
              </w:rPr>
              <w:t>, manifestó que el asentamiento de la empresa se produjo en forma previa a la conformación de una zona turística que aún no ha sido definida como tal en el POT,</w:t>
            </w:r>
            <w:r w:rsidRPr="007F6E9C">
              <w:rPr>
                <w:rFonts w:cs="Arial"/>
                <w:sz w:val="20"/>
                <w:szCs w:val="20"/>
              </w:rPr>
              <w:t xml:space="preserve"> que</w:t>
            </w:r>
            <w:r w:rsidR="0033035B" w:rsidRPr="007F6E9C">
              <w:rPr>
                <w:rFonts w:cs="Arial"/>
                <w:sz w:val="20"/>
                <w:szCs w:val="20"/>
              </w:rPr>
              <w:t xml:space="preserve"> el hundimiento de las barcazas </w:t>
            </w:r>
            <w:r w:rsidRPr="007F6E9C">
              <w:rPr>
                <w:rFonts w:cs="Arial"/>
                <w:sz w:val="20"/>
                <w:szCs w:val="20"/>
              </w:rPr>
              <w:t>fue fortuito y</w:t>
            </w:r>
            <w:r w:rsidR="0033035B" w:rsidRPr="007F6E9C">
              <w:rPr>
                <w:rFonts w:cs="Arial"/>
                <w:sz w:val="20"/>
                <w:szCs w:val="20"/>
              </w:rPr>
              <w:t xml:space="preserve"> que </w:t>
            </w:r>
            <w:r w:rsidRPr="007F6E9C">
              <w:rPr>
                <w:rFonts w:cs="Arial"/>
                <w:sz w:val="20"/>
                <w:szCs w:val="20"/>
              </w:rPr>
              <w:t>las causas de las infecciones respiratorias agudas provienen</w:t>
            </w:r>
            <w:r w:rsidR="0033035B" w:rsidRPr="007F6E9C">
              <w:rPr>
                <w:rFonts w:cs="Arial"/>
                <w:sz w:val="20"/>
                <w:szCs w:val="20"/>
              </w:rPr>
              <w:t xml:space="preserve"> de virus y bacterias y no por el polvillo del carbón</w:t>
            </w:r>
            <w:r w:rsidRPr="007F6E9C">
              <w:rPr>
                <w:rFonts w:cs="Arial"/>
                <w:sz w:val="20"/>
                <w:szCs w:val="20"/>
              </w:rPr>
              <w:t>, entre otras situaciones.</w:t>
            </w:r>
          </w:p>
          <w:p w:rsidR="00BE0546" w:rsidRPr="00BC5A7A" w:rsidRDefault="00BE0546" w:rsidP="00DE32F9">
            <w:pPr>
              <w:jc w:val="both"/>
              <w:rPr>
                <w:rFonts w:cs="Arial"/>
                <w:b/>
                <w:color w:val="FF0000"/>
                <w:sz w:val="20"/>
                <w:szCs w:val="20"/>
              </w:rPr>
            </w:pPr>
          </w:p>
        </w:tc>
        <w:tc>
          <w:tcPr>
            <w:tcW w:w="3260" w:type="dxa"/>
          </w:tcPr>
          <w:p w:rsidR="0050592C" w:rsidRDefault="0050592C" w:rsidP="00DE32F9">
            <w:pPr>
              <w:jc w:val="both"/>
              <w:rPr>
                <w:rFonts w:cs="Arial"/>
                <w:b/>
                <w:bCs/>
                <w:sz w:val="20"/>
                <w:szCs w:val="20"/>
              </w:rPr>
            </w:pPr>
            <w:r w:rsidRPr="0033035B">
              <w:rPr>
                <w:rFonts w:cs="Arial"/>
                <w:b/>
                <w:bCs/>
                <w:sz w:val="20"/>
                <w:szCs w:val="20"/>
              </w:rPr>
              <w:lastRenderedPageBreak/>
              <w:t>TRI. SUP. DE SANTA MARTA.</w:t>
            </w:r>
          </w:p>
          <w:p w:rsidR="00501921" w:rsidRPr="0033035B" w:rsidRDefault="00501921" w:rsidP="00DE32F9">
            <w:pPr>
              <w:jc w:val="both"/>
              <w:rPr>
                <w:rFonts w:cs="Arial"/>
                <w:sz w:val="20"/>
                <w:szCs w:val="20"/>
              </w:rPr>
            </w:pPr>
          </w:p>
          <w:p w:rsidR="00CC709B" w:rsidRPr="0033035B" w:rsidRDefault="00324851" w:rsidP="00DE32F9">
            <w:pPr>
              <w:jc w:val="both"/>
              <w:rPr>
                <w:rFonts w:cs="Arial"/>
                <w:sz w:val="20"/>
                <w:szCs w:val="20"/>
              </w:rPr>
            </w:pPr>
            <w:r w:rsidRPr="0033035B">
              <w:rPr>
                <w:rFonts w:cs="Arial"/>
                <w:sz w:val="20"/>
                <w:szCs w:val="20"/>
              </w:rPr>
              <w:t>Mediante sentencia del 21 de julio de 1</w:t>
            </w:r>
            <w:r w:rsidR="0050592C" w:rsidRPr="0033035B">
              <w:rPr>
                <w:rFonts w:cs="Arial"/>
                <w:sz w:val="20"/>
                <w:szCs w:val="20"/>
              </w:rPr>
              <w:t>.998, la Sala Penal del Tri.</w:t>
            </w:r>
            <w:r w:rsidRPr="0033035B">
              <w:rPr>
                <w:rFonts w:cs="Arial"/>
                <w:sz w:val="20"/>
                <w:szCs w:val="20"/>
              </w:rPr>
              <w:t xml:space="preserve"> Sup</w:t>
            </w:r>
            <w:r w:rsidR="0050592C" w:rsidRPr="0033035B">
              <w:rPr>
                <w:rFonts w:cs="Arial"/>
                <w:sz w:val="20"/>
                <w:szCs w:val="20"/>
              </w:rPr>
              <w:t>.</w:t>
            </w:r>
            <w:r w:rsidRPr="0033035B">
              <w:rPr>
                <w:rFonts w:cs="Arial"/>
                <w:sz w:val="20"/>
                <w:szCs w:val="20"/>
              </w:rPr>
              <w:t xml:space="preserve"> de Santa Marta, concedió la tutela a favor de los demandantes por tratarse de la violación o amenaza del derecho al ambiente sano, derecho que tiene conexidad con derechos fundamentales individuales</w:t>
            </w:r>
            <w:r w:rsidR="00CC709B" w:rsidRPr="0033035B">
              <w:rPr>
                <w:rFonts w:cs="Arial"/>
                <w:sz w:val="20"/>
                <w:szCs w:val="20"/>
              </w:rPr>
              <w:t>.</w:t>
            </w:r>
            <w:r w:rsidRPr="0033035B">
              <w:rPr>
                <w:rFonts w:cs="Arial"/>
                <w:sz w:val="20"/>
                <w:szCs w:val="20"/>
              </w:rPr>
              <w:t xml:space="preserve"> </w:t>
            </w:r>
          </w:p>
          <w:p w:rsidR="0033035B" w:rsidRDefault="00324851" w:rsidP="00DE32F9">
            <w:pPr>
              <w:jc w:val="both"/>
              <w:rPr>
                <w:rFonts w:cs="Arial"/>
                <w:sz w:val="20"/>
                <w:szCs w:val="20"/>
              </w:rPr>
            </w:pPr>
            <w:r w:rsidRPr="0033035B">
              <w:rPr>
                <w:rFonts w:cs="Arial"/>
                <w:sz w:val="20"/>
                <w:szCs w:val="20"/>
              </w:rPr>
              <w:t>Así mismo, argumenta este alto Tribunal que el derecho al medio ambiente no se puede desligar del derecho a la vida y a la salud de las personas, por lo que el Estado debe garantizar su prestación como servicio público prioritario</w:t>
            </w:r>
            <w:r w:rsidR="006C5955" w:rsidRPr="0033035B">
              <w:rPr>
                <w:rFonts w:cs="Arial"/>
                <w:sz w:val="20"/>
                <w:szCs w:val="20"/>
              </w:rPr>
              <w:t xml:space="preserve">. </w:t>
            </w:r>
            <w:r w:rsidR="00CC709B" w:rsidRPr="0033035B">
              <w:rPr>
                <w:rFonts w:cs="Arial"/>
                <w:sz w:val="20"/>
                <w:szCs w:val="20"/>
              </w:rPr>
              <w:t xml:space="preserve"> </w:t>
            </w:r>
            <w:r w:rsidR="006C5955" w:rsidRPr="0033035B">
              <w:rPr>
                <w:rFonts w:cs="Arial"/>
                <w:sz w:val="20"/>
                <w:szCs w:val="20"/>
              </w:rPr>
              <w:t>Por esta razón, dicho Despacho Judicial llevó a cabo una visita de campo recaudando</w:t>
            </w:r>
            <w:r w:rsidRPr="0033035B">
              <w:rPr>
                <w:rFonts w:cs="Arial"/>
                <w:sz w:val="20"/>
                <w:szCs w:val="20"/>
              </w:rPr>
              <w:t xml:space="preserve"> material probatorio </w:t>
            </w:r>
            <w:r w:rsidR="006C5955" w:rsidRPr="0033035B">
              <w:rPr>
                <w:rFonts w:cs="Arial"/>
                <w:sz w:val="20"/>
                <w:szCs w:val="20"/>
              </w:rPr>
              <w:t>importante dentro del</w:t>
            </w:r>
            <w:r w:rsidRPr="0033035B">
              <w:rPr>
                <w:rFonts w:cs="Arial"/>
                <w:sz w:val="20"/>
                <w:szCs w:val="20"/>
              </w:rPr>
              <w:t xml:space="preserve"> proceso</w:t>
            </w:r>
            <w:r w:rsidR="006C5955" w:rsidRPr="0033035B">
              <w:rPr>
                <w:rFonts w:cs="Arial"/>
                <w:sz w:val="20"/>
                <w:szCs w:val="20"/>
              </w:rPr>
              <w:t xml:space="preserve"> observando un</w:t>
            </w:r>
            <w:r w:rsidRPr="0033035B">
              <w:rPr>
                <w:rFonts w:cs="Arial"/>
                <w:sz w:val="20"/>
                <w:szCs w:val="20"/>
              </w:rPr>
              <w:t xml:space="preserve"> </w:t>
            </w:r>
            <w:r w:rsidRPr="0033035B">
              <w:rPr>
                <w:rFonts w:cs="Arial"/>
                <w:sz w:val="20"/>
                <w:szCs w:val="20"/>
              </w:rPr>
              <w:lastRenderedPageBreak/>
              <w:t>inadecuado manejo del carbón en el proceso de cargue y descargue</w:t>
            </w:r>
            <w:r w:rsidR="006C5955" w:rsidRPr="0033035B">
              <w:rPr>
                <w:rFonts w:cs="Arial"/>
                <w:sz w:val="20"/>
                <w:szCs w:val="20"/>
              </w:rPr>
              <w:t xml:space="preserve"> del mismo. </w:t>
            </w:r>
            <w:r w:rsidR="00CC709B" w:rsidRPr="0033035B">
              <w:rPr>
                <w:rFonts w:cs="Arial"/>
                <w:sz w:val="20"/>
                <w:szCs w:val="20"/>
              </w:rPr>
              <w:t>Como ayuda a su argumento final</w:t>
            </w:r>
            <w:r w:rsidR="006C5955" w:rsidRPr="0033035B">
              <w:rPr>
                <w:rFonts w:cs="Arial"/>
                <w:sz w:val="20"/>
                <w:szCs w:val="20"/>
              </w:rPr>
              <w:t xml:space="preserve">, </w:t>
            </w:r>
            <w:r w:rsidR="00CC709B" w:rsidRPr="0033035B">
              <w:rPr>
                <w:rFonts w:cs="Arial"/>
                <w:sz w:val="20"/>
                <w:szCs w:val="20"/>
              </w:rPr>
              <w:t xml:space="preserve">dicho Despacho </w:t>
            </w:r>
            <w:r w:rsidR="006C5955" w:rsidRPr="0033035B">
              <w:rPr>
                <w:rFonts w:cs="Arial"/>
                <w:sz w:val="20"/>
                <w:szCs w:val="20"/>
              </w:rPr>
              <w:t xml:space="preserve">hace alusión </w:t>
            </w:r>
            <w:r w:rsidR="00CC709B" w:rsidRPr="0033035B">
              <w:rPr>
                <w:rFonts w:cs="Arial"/>
                <w:sz w:val="20"/>
                <w:szCs w:val="20"/>
              </w:rPr>
              <w:t>a</w:t>
            </w:r>
            <w:r w:rsidR="0050592C" w:rsidRPr="0033035B">
              <w:rPr>
                <w:rFonts w:cs="Arial"/>
                <w:sz w:val="20"/>
                <w:szCs w:val="20"/>
              </w:rPr>
              <w:t xml:space="preserve"> </w:t>
            </w:r>
            <w:r w:rsidR="006C5955" w:rsidRPr="0033035B">
              <w:rPr>
                <w:rFonts w:cs="Arial"/>
                <w:sz w:val="20"/>
                <w:szCs w:val="20"/>
              </w:rPr>
              <w:t>un documento emitido por el</w:t>
            </w:r>
            <w:r w:rsidRPr="0033035B">
              <w:rPr>
                <w:rFonts w:cs="Arial"/>
                <w:sz w:val="20"/>
                <w:szCs w:val="20"/>
              </w:rPr>
              <w:t xml:space="preserve"> </w:t>
            </w:r>
            <w:r w:rsidR="0050592C" w:rsidRPr="0033035B">
              <w:rPr>
                <w:rFonts w:cs="Arial"/>
                <w:sz w:val="20"/>
                <w:szCs w:val="20"/>
              </w:rPr>
              <w:t>D.N.P.</w:t>
            </w:r>
            <w:r w:rsidRPr="0033035B">
              <w:rPr>
                <w:rFonts w:cs="Arial"/>
                <w:sz w:val="20"/>
                <w:szCs w:val="20"/>
              </w:rPr>
              <w:t xml:space="preserve"> según el cual, la única zona del país en donde </w:t>
            </w:r>
            <w:r w:rsidR="006C5955" w:rsidRPr="0033035B">
              <w:rPr>
                <w:rFonts w:cs="Arial"/>
                <w:sz w:val="20"/>
                <w:szCs w:val="20"/>
              </w:rPr>
              <w:t>la actividad de cargue de carbón</w:t>
            </w:r>
            <w:r w:rsidRPr="0033035B">
              <w:rPr>
                <w:rFonts w:cs="Arial"/>
                <w:sz w:val="20"/>
                <w:szCs w:val="20"/>
              </w:rPr>
              <w:t xml:space="preserve"> no causaría daño en la ecología, ambiente, y salud de las personas es la Bahía Portete, </w:t>
            </w:r>
            <w:r w:rsidR="006C5955" w:rsidRPr="0033035B">
              <w:rPr>
                <w:rFonts w:cs="Arial"/>
                <w:sz w:val="20"/>
                <w:szCs w:val="20"/>
              </w:rPr>
              <w:t>en el Departamento de la Guajira por</w:t>
            </w:r>
            <w:r w:rsidRPr="0033035B">
              <w:rPr>
                <w:rFonts w:cs="Arial"/>
                <w:sz w:val="20"/>
                <w:szCs w:val="20"/>
              </w:rPr>
              <w:t xml:space="preserve"> ser </w:t>
            </w:r>
            <w:r w:rsidR="006C5955" w:rsidRPr="0033035B">
              <w:rPr>
                <w:rFonts w:cs="Arial"/>
                <w:sz w:val="20"/>
                <w:szCs w:val="20"/>
              </w:rPr>
              <w:t>este lugar zona desértica</w:t>
            </w:r>
            <w:r w:rsidR="00CC709B" w:rsidRPr="0033035B">
              <w:rPr>
                <w:rFonts w:cs="Arial"/>
                <w:sz w:val="20"/>
                <w:szCs w:val="20"/>
              </w:rPr>
              <w:t xml:space="preserve">, </w:t>
            </w:r>
            <w:r w:rsidR="0050592C" w:rsidRPr="0033035B">
              <w:rPr>
                <w:rFonts w:cs="Arial"/>
                <w:sz w:val="20"/>
                <w:szCs w:val="20"/>
              </w:rPr>
              <w:t>para finalmente</w:t>
            </w:r>
            <w:r w:rsidR="00CC709B" w:rsidRPr="0033035B">
              <w:rPr>
                <w:rFonts w:cs="Arial"/>
                <w:sz w:val="20"/>
                <w:szCs w:val="20"/>
              </w:rPr>
              <w:t xml:space="preserve"> orden</w:t>
            </w:r>
            <w:r w:rsidR="0050592C" w:rsidRPr="0033035B">
              <w:rPr>
                <w:rFonts w:cs="Arial"/>
                <w:sz w:val="20"/>
                <w:szCs w:val="20"/>
              </w:rPr>
              <w:t>ar</w:t>
            </w:r>
            <w:r w:rsidR="00CC709B" w:rsidRPr="0033035B">
              <w:rPr>
                <w:rFonts w:cs="Arial"/>
                <w:sz w:val="20"/>
                <w:szCs w:val="20"/>
              </w:rPr>
              <w:t xml:space="preserve"> que en un plazo no mayor a 3 años la empresa </w:t>
            </w:r>
            <w:r w:rsidRPr="0033035B">
              <w:rPr>
                <w:rFonts w:cs="Arial"/>
                <w:sz w:val="20"/>
                <w:szCs w:val="20"/>
              </w:rPr>
              <w:t xml:space="preserve">C.I. PRODECO S.A., </w:t>
            </w:r>
            <w:r w:rsidR="00CC709B" w:rsidRPr="0033035B">
              <w:rPr>
                <w:rFonts w:cs="Arial"/>
                <w:sz w:val="20"/>
                <w:szCs w:val="20"/>
              </w:rPr>
              <w:t>fuera</w:t>
            </w:r>
            <w:r w:rsidRPr="0033035B">
              <w:rPr>
                <w:rFonts w:cs="Arial"/>
                <w:sz w:val="20"/>
                <w:szCs w:val="20"/>
              </w:rPr>
              <w:t xml:space="preserve"> reubica</w:t>
            </w:r>
            <w:r w:rsidR="00CC709B" w:rsidRPr="0033035B">
              <w:rPr>
                <w:rFonts w:cs="Arial"/>
                <w:sz w:val="20"/>
                <w:szCs w:val="20"/>
              </w:rPr>
              <w:t xml:space="preserve">da </w:t>
            </w:r>
            <w:r w:rsidRPr="0033035B">
              <w:rPr>
                <w:rFonts w:cs="Arial"/>
                <w:sz w:val="20"/>
                <w:szCs w:val="20"/>
              </w:rPr>
              <w:t>en un lugar apropiado</w:t>
            </w:r>
            <w:r w:rsidR="00CC709B" w:rsidRPr="0033035B">
              <w:rPr>
                <w:rFonts w:cs="Arial"/>
                <w:sz w:val="20"/>
                <w:szCs w:val="20"/>
              </w:rPr>
              <w:t xml:space="preserve"> para llevar a cabo su objeto social.</w:t>
            </w:r>
          </w:p>
          <w:p w:rsidR="00CC709B" w:rsidRPr="0033035B" w:rsidRDefault="0033035B" w:rsidP="00DE32F9">
            <w:pPr>
              <w:jc w:val="both"/>
              <w:rPr>
                <w:rFonts w:cs="Arial"/>
                <w:sz w:val="20"/>
                <w:szCs w:val="20"/>
              </w:rPr>
            </w:pPr>
            <w:r>
              <w:rPr>
                <w:rFonts w:cs="Arial"/>
                <w:sz w:val="20"/>
                <w:szCs w:val="20"/>
              </w:rPr>
              <w:t>___________________________</w:t>
            </w:r>
            <w:r w:rsidR="00EA4B23">
              <w:rPr>
                <w:rFonts w:cs="Arial"/>
                <w:sz w:val="20"/>
                <w:szCs w:val="20"/>
              </w:rPr>
              <w:t>___</w:t>
            </w:r>
          </w:p>
          <w:p w:rsidR="0050592C" w:rsidRPr="0033035B" w:rsidRDefault="0050592C" w:rsidP="00DE32F9">
            <w:pPr>
              <w:jc w:val="both"/>
              <w:rPr>
                <w:rFonts w:cs="Arial"/>
                <w:sz w:val="20"/>
                <w:szCs w:val="20"/>
              </w:rPr>
            </w:pPr>
            <w:r w:rsidRPr="0033035B">
              <w:rPr>
                <w:rFonts w:cs="Arial"/>
                <w:b/>
                <w:bCs/>
                <w:sz w:val="20"/>
                <w:szCs w:val="20"/>
              </w:rPr>
              <w:t>C.S.J. SALA PENAL</w:t>
            </w:r>
          </w:p>
          <w:p w:rsidR="00CC709B" w:rsidRPr="0033035B" w:rsidRDefault="00CC709B" w:rsidP="00DE32F9">
            <w:pPr>
              <w:jc w:val="both"/>
              <w:rPr>
                <w:rFonts w:cs="Arial"/>
                <w:sz w:val="20"/>
                <w:szCs w:val="20"/>
              </w:rPr>
            </w:pPr>
            <w:r w:rsidRPr="0033035B">
              <w:rPr>
                <w:rFonts w:cs="Arial"/>
                <w:sz w:val="20"/>
                <w:szCs w:val="20"/>
              </w:rPr>
              <w:t>La Sa</w:t>
            </w:r>
            <w:r w:rsidR="0050592C" w:rsidRPr="0033035B">
              <w:rPr>
                <w:rFonts w:cs="Arial"/>
                <w:sz w:val="20"/>
                <w:szCs w:val="20"/>
              </w:rPr>
              <w:t>la de Casación Penal de la   C.</w:t>
            </w:r>
            <w:r w:rsidRPr="0033035B">
              <w:rPr>
                <w:rFonts w:cs="Arial"/>
                <w:sz w:val="20"/>
                <w:szCs w:val="20"/>
              </w:rPr>
              <w:t xml:space="preserve"> S</w:t>
            </w:r>
            <w:r w:rsidR="0050592C" w:rsidRPr="0033035B">
              <w:rPr>
                <w:rFonts w:cs="Arial"/>
                <w:sz w:val="20"/>
                <w:szCs w:val="20"/>
              </w:rPr>
              <w:t>.</w:t>
            </w:r>
            <w:r w:rsidRPr="0033035B">
              <w:rPr>
                <w:rFonts w:cs="Arial"/>
                <w:sz w:val="20"/>
                <w:szCs w:val="20"/>
              </w:rPr>
              <w:t xml:space="preserve"> J</w:t>
            </w:r>
            <w:r w:rsidR="0050592C" w:rsidRPr="0033035B">
              <w:rPr>
                <w:rFonts w:cs="Arial"/>
                <w:sz w:val="20"/>
                <w:szCs w:val="20"/>
              </w:rPr>
              <w:t>.</w:t>
            </w:r>
            <w:r w:rsidRPr="0033035B">
              <w:rPr>
                <w:rFonts w:cs="Arial"/>
                <w:sz w:val="20"/>
                <w:szCs w:val="20"/>
              </w:rPr>
              <w:t>, en sentencia del 2 de septiembre de</w:t>
            </w:r>
            <w:r w:rsidR="0050592C" w:rsidRPr="0033035B">
              <w:rPr>
                <w:rFonts w:cs="Arial"/>
                <w:sz w:val="20"/>
                <w:szCs w:val="20"/>
              </w:rPr>
              <w:t xml:space="preserve"> 1.998, confirmó el fallo de 1ª instancia</w:t>
            </w:r>
            <w:r w:rsidRPr="0033035B">
              <w:rPr>
                <w:rFonts w:cs="Arial"/>
                <w:sz w:val="20"/>
                <w:szCs w:val="20"/>
              </w:rPr>
              <w:t xml:space="preserve">, en cuanto a la tutela de los derechos a la vida, ambiente sano y a la salud </w:t>
            </w:r>
            <w:r w:rsidR="0050592C" w:rsidRPr="0033035B">
              <w:rPr>
                <w:rFonts w:cs="Arial"/>
                <w:sz w:val="20"/>
                <w:szCs w:val="20"/>
              </w:rPr>
              <w:t>de los</w:t>
            </w:r>
            <w:r w:rsidRPr="0033035B">
              <w:rPr>
                <w:rFonts w:cs="Arial"/>
                <w:sz w:val="20"/>
                <w:szCs w:val="20"/>
              </w:rPr>
              <w:t xml:space="preserve"> habitantes de la zona aledaña al puerto carbonero de C.I. PRODECO S.A.</w:t>
            </w:r>
            <w:r w:rsidR="0050592C" w:rsidRPr="0033035B">
              <w:rPr>
                <w:rFonts w:cs="Arial"/>
                <w:sz w:val="20"/>
                <w:szCs w:val="20"/>
              </w:rPr>
              <w:t xml:space="preserve"> extendiéndola al</w:t>
            </w:r>
            <w:r w:rsidRPr="0033035B">
              <w:rPr>
                <w:rFonts w:cs="Arial"/>
                <w:sz w:val="20"/>
                <w:szCs w:val="20"/>
              </w:rPr>
              <w:t xml:space="preserve"> derecho a la intimidad por las molestias causadas con los residuos del carbón</w:t>
            </w:r>
            <w:r w:rsidR="0050592C" w:rsidRPr="0033035B">
              <w:rPr>
                <w:rFonts w:cs="Arial"/>
                <w:sz w:val="20"/>
                <w:szCs w:val="20"/>
              </w:rPr>
              <w:t>.</w:t>
            </w:r>
          </w:p>
          <w:p w:rsidR="00CC709B" w:rsidRPr="0033035B" w:rsidRDefault="0033035B" w:rsidP="00DE32F9">
            <w:pPr>
              <w:jc w:val="both"/>
              <w:rPr>
                <w:rFonts w:cs="Arial"/>
                <w:sz w:val="20"/>
                <w:szCs w:val="20"/>
              </w:rPr>
            </w:pPr>
            <w:r w:rsidRPr="0033035B">
              <w:rPr>
                <w:rFonts w:cs="Arial"/>
                <w:sz w:val="20"/>
                <w:szCs w:val="20"/>
              </w:rPr>
              <w:t>Por otro lado</w:t>
            </w:r>
            <w:r w:rsidR="00CC709B" w:rsidRPr="0033035B">
              <w:rPr>
                <w:rFonts w:cs="Arial"/>
                <w:sz w:val="20"/>
                <w:szCs w:val="20"/>
              </w:rPr>
              <w:t>,</w:t>
            </w:r>
            <w:r w:rsidRPr="0033035B">
              <w:rPr>
                <w:rFonts w:cs="Arial"/>
                <w:sz w:val="20"/>
                <w:szCs w:val="20"/>
              </w:rPr>
              <w:t xml:space="preserve"> la C.S.J.</w:t>
            </w:r>
            <w:r w:rsidR="00CC709B" w:rsidRPr="0033035B">
              <w:rPr>
                <w:rFonts w:cs="Arial"/>
                <w:sz w:val="20"/>
                <w:szCs w:val="20"/>
              </w:rPr>
              <w:t xml:space="preserve"> halló desmedida la orden </w:t>
            </w:r>
            <w:r w:rsidRPr="0033035B">
              <w:rPr>
                <w:rFonts w:cs="Arial"/>
                <w:sz w:val="20"/>
                <w:szCs w:val="20"/>
              </w:rPr>
              <w:t>de</w:t>
            </w:r>
            <w:r w:rsidR="00CC709B" w:rsidRPr="0033035B">
              <w:rPr>
                <w:rFonts w:cs="Arial"/>
                <w:sz w:val="20"/>
                <w:szCs w:val="20"/>
              </w:rPr>
              <w:t xml:space="preserve"> reubicación de la empresa, </w:t>
            </w:r>
            <w:r w:rsidRPr="0033035B">
              <w:rPr>
                <w:rFonts w:cs="Arial"/>
                <w:sz w:val="20"/>
                <w:szCs w:val="20"/>
              </w:rPr>
              <w:t>modificando</w:t>
            </w:r>
            <w:r w:rsidR="00CC709B" w:rsidRPr="0033035B">
              <w:rPr>
                <w:rFonts w:cs="Arial"/>
                <w:sz w:val="20"/>
                <w:szCs w:val="20"/>
              </w:rPr>
              <w:t xml:space="preserve"> la sentencia impugnada</w:t>
            </w:r>
            <w:r w:rsidRPr="0033035B">
              <w:rPr>
                <w:rFonts w:cs="Arial"/>
                <w:sz w:val="20"/>
                <w:szCs w:val="20"/>
              </w:rPr>
              <w:t xml:space="preserve"> dando un plazo</w:t>
            </w:r>
            <w:r w:rsidR="00CC709B" w:rsidRPr="0033035B">
              <w:rPr>
                <w:rFonts w:cs="Arial"/>
                <w:sz w:val="20"/>
                <w:szCs w:val="20"/>
              </w:rPr>
              <w:t xml:space="preserve"> de tres (3) meses,</w:t>
            </w:r>
            <w:r w:rsidRPr="0033035B">
              <w:rPr>
                <w:rFonts w:cs="Arial"/>
                <w:sz w:val="20"/>
                <w:szCs w:val="20"/>
              </w:rPr>
              <w:t xml:space="preserve"> para que la empresa lleve a cabo</w:t>
            </w:r>
            <w:r w:rsidR="00CC709B" w:rsidRPr="0033035B">
              <w:rPr>
                <w:rFonts w:cs="Arial"/>
                <w:sz w:val="20"/>
                <w:szCs w:val="20"/>
              </w:rPr>
              <w:t xml:space="preserve"> un cronograma de razonable duración para la realización de inversiones </w:t>
            </w:r>
            <w:r w:rsidRPr="0033035B">
              <w:rPr>
                <w:rFonts w:cs="Arial"/>
                <w:sz w:val="20"/>
                <w:szCs w:val="20"/>
              </w:rPr>
              <w:t xml:space="preserve">para </w:t>
            </w:r>
            <w:r w:rsidRPr="0033035B">
              <w:rPr>
                <w:rFonts w:cs="Arial"/>
                <w:sz w:val="20"/>
                <w:szCs w:val="20"/>
              </w:rPr>
              <w:lastRenderedPageBreak/>
              <w:t>mejorar</w:t>
            </w:r>
            <w:r w:rsidR="00CC709B" w:rsidRPr="0033035B">
              <w:rPr>
                <w:rFonts w:cs="Arial"/>
                <w:sz w:val="20"/>
                <w:szCs w:val="20"/>
              </w:rPr>
              <w:t xml:space="preserve"> todo el proceso de transporte terrestre, almacenamiento, cargue y descargue de carbón en el puerto y en sus lugares adyacentes</w:t>
            </w:r>
            <w:r w:rsidRPr="0033035B">
              <w:rPr>
                <w:rFonts w:cs="Arial"/>
                <w:sz w:val="20"/>
                <w:szCs w:val="20"/>
              </w:rPr>
              <w:t xml:space="preserve"> y de esta manera disminuir la afectación a los habitantes que viven en cercanías al puerto de embarque.</w:t>
            </w:r>
          </w:p>
        </w:tc>
        <w:tc>
          <w:tcPr>
            <w:tcW w:w="3118" w:type="dxa"/>
          </w:tcPr>
          <w:p w:rsidR="00501921" w:rsidRPr="00EA4B23" w:rsidRDefault="0041740D" w:rsidP="00DE32F9">
            <w:pPr>
              <w:jc w:val="center"/>
              <w:rPr>
                <w:rFonts w:cs="Arial"/>
                <w:b/>
                <w:bCs/>
                <w:sz w:val="20"/>
                <w:szCs w:val="20"/>
                <w:lang w:val="es-ES"/>
              </w:rPr>
            </w:pPr>
            <w:r w:rsidRPr="00EA4B23">
              <w:rPr>
                <w:rFonts w:cs="Arial"/>
                <w:b/>
                <w:bCs/>
                <w:sz w:val="20"/>
                <w:szCs w:val="20"/>
                <w:lang w:val="es-ES"/>
              </w:rPr>
              <w:lastRenderedPageBreak/>
              <w:t>La responsabilidad compartida entre el estado y la comunidad para la conservación de un medio ambiente sano.</w:t>
            </w:r>
          </w:p>
          <w:p w:rsidR="00501921" w:rsidRPr="00EA4B23" w:rsidRDefault="00501921" w:rsidP="00DE32F9">
            <w:pPr>
              <w:jc w:val="both"/>
              <w:rPr>
                <w:rFonts w:cs="Arial"/>
                <w:sz w:val="20"/>
                <w:szCs w:val="20"/>
                <w:lang w:val="es-ES"/>
              </w:rPr>
            </w:pPr>
            <w:r w:rsidRPr="00EA4B23">
              <w:rPr>
                <w:rFonts w:cs="Arial"/>
                <w:sz w:val="20"/>
                <w:szCs w:val="20"/>
              </w:rPr>
              <w:t xml:space="preserve">Existen unos deberes estatales encaminados a la protección de la diversidad e integridad del ambiente, la conservación de las áreas de especial importancia ecológica y el fomento de la educación para obtener esos fines entre otros. </w:t>
            </w:r>
            <w:r w:rsidRPr="00EA4B23">
              <w:rPr>
                <w:rFonts w:cs="Arial"/>
                <w:sz w:val="20"/>
                <w:szCs w:val="20"/>
                <w:lang w:val="es-ES"/>
              </w:rPr>
              <w:t xml:space="preserve">Así mismo, existen las responsabilidades estatales aludidas, los actos de participación y las obligaciones a cargo de la comunidad para la consecución de los objetivos en materia ambiental; en virtud de lo cual, los ciudadanos pueden tomar parte en las decisiones que afecten el medio ambiente debiendo a su vez proteger </w:t>
            </w:r>
            <w:r w:rsidRPr="00EA4B23">
              <w:rPr>
                <w:rFonts w:cs="Arial"/>
                <w:sz w:val="20"/>
                <w:szCs w:val="20"/>
                <w:lang w:val="es-ES"/>
              </w:rPr>
              <w:lastRenderedPageBreak/>
              <w:t>los recursos naturales y velar por la conservación de los mismos.</w:t>
            </w:r>
          </w:p>
          <w:p w:rsidR="00501921" w:rsidRPr="00EA4B23" w:rsidRDefault="00501921" w:rsidP="00DE32F9">
            <w:pPr>
              <w:jc w:val="both"/>
              <w:rPr>
                <w:rFonts w:cs="Arial"/>
                <w:sz w:val="20"/>
                <w:szCs w:val="20"/>
                <w:lang w:val="es-ES"/>
              </w:rPr>
            </w:pPr>
          </w:p>
          <w:p w:rsidR="00EA4B23" w:rsidRPr="00EA4B23" w:rsidRDefault="0041740D" w:rsidP="00DE32F9">
            <w:pPr>
              <w:jc w:val="center"/>
              <w:rPr>
                <w:rFonts w:cs="Arial"/>
                <w:sz w:val="20"/>
                <w:szCs w:val="20"/>
                <w:lang w:val="es-ES"/>
              </w:rPr>
            </w:pPr>
            <w:r w:rsidRPr="00EA4B23">
              <w:rPr>
                <w:rFonts w:cs="Arial"/>
                <w:b/>
                <w:bCs/>
                <w:sz w:val="20"/>
                <w:szCs w:val="20"/>
                <w:lang w:val="es-ES"/>
              </w:rPr>
              <w:t>Compatibilidad entre la libertad de empresa y el derecho al ambiente sano.</w:t>
            </w:r>
          </w:p>
          <w:p w:rsidR="00501921" w:rsidRPr="00EA4B23" w:rsidRDefault="00EA4B23" w:rsidP="00DE32F9">
            <w:pPr>
              <w:jc w:val="both"/>
              <w:rPr>
                <w:rFonts w:cs="Arial"/>
                <w:sz w:val="20"/>
                <w:szCs w:val="20"/>
                <w:lang w:val="es-ES"/>
              </w:rPr>
            </w:pPr>
            <w:r w:rsidRPr="00EA4B23">
              <w:rPr>
                <w:rFonts w:cs="Arial"/>
                <w:sz w:val="20"/>
                <w:szCs w:val="20"/>
                <w:lang w:val="es-ES"/>
              </w:rPr>
              <w:t xml:space="preserve">El ordenamiento constitucional vigente consagra un modelo económico que garantiza un amplio espacio de libertad para la actividad económica y la iniciativa privada, dentro de los límites del bien común. </w:t>
            </w:r>
          </w:p>
          <w:p w:rsidR="00EA4B23" w:rsidRPr="00EA4B23" w:rsidRDefault="00EA4B23" w:rsidP="00DE32F9">
            <w:pPr>
              <w:jc w:val="both"/>
              <w:rPr>
                <w:rFonts w:cs="Arial"/>
                <w:sz w:val="20"/>
                <w:szCs w:val="20"/>
                <w:lang w:val="es-ES"/>
              </w:rPr>
            </w:pPr>
            <w:r w:rsidRPr="00EA4B23">
              <w:rPr>
                <w:rFonts w:cs="Arial"/>
                <w:sz w:val="20"/>
                <w:szCs w:val="20"/>
                <w:lang w:val="es-ES"/>
              </w:rPr>
              <w:t>Así las cosas, existe para los particulares una especial responsabilidad en la preservación y protección del medio ambiente, cuando quiera que con el ejercicio de la libertad de empresa se atente contra su equilibrio; más aún, cuando de su posible lesión pueden derivarse amenazas a derechos de importante envergadura para las personas.</w:t>
            </w:r>
          </w:p>
          <w:p w:rsidR="00EA4B23" w:rsidRPr="00EA4B23" w:rsidRDefault="00EA4B23" w:rsidP="00DE32F9">
            <w:pPr>
              <w:jc w:val="both"/>
              <w:rPr>
                <w:rFonts w:cs="Arial"/>
                <w:sz w:val="20"/>
                <w:szCs w:val="20"/>
                <w:lang w:val="es-ES"/>
              </w:rPr>
            </w:pPr>
          </w:p>
          <w:p w:rsidR="00EA4B23" w:rsidRPr="00EA4B23" w:rsidRDefault="0041740D" w:rsidP="00DE32F9">
            <w:pPr>
              <w:jc w:val="center"/>
              <w:rPr>
                <w:rFonts w:cs="Arial"/>
                <w:sz w:val="20"/>
                <w:szCs w:val="20"/>
              </w:rPr>
            </w:pPr>
            <w:r w:rsidRPr="00EA4B23">
              <w:rPr>
                <w:rFonts w:cs="Arial"/>
                <w:b/>
                <w:bCs/>
                <w:sz w:val="20"/>
                <w:szCs w:val="20"/>
                <w:lang w:val="es-ES"/>
              </w:rPr>
              <w:t>El derecho de las personas a disfrutar de un medio ambiente se salvaguarda a través de las acciones populares o las de clase o grupo, salvo que con su afectación se vulneren o amenacen derechos de rango fundamental en forma concreta e individualizable.</w:t>
            </w:r>
          </w:p>
          <w:p w:rsidR="00EA4B23" w:rsidRDefault="00EA4B23" w:rsidP="00DE32F9">
            <w:pPr>
              <w:jc w:val="both"/>
              <w:rPr>
                <w:rFonts w:cs="Arial"/>
                <w:sz w:val="20"/>
                <w:szCs w:val="20"/>
                <w:lang w:val="es-ES"/>
              </w:rPr>
            </w:pPr>
            <w:r w:rsidRPr="00EA4B23">
              <w:rPr>
                <w:rFonts w:cs="Arial"/>
                <w:sz w:val="20"/>
                <w:szCs w:val="20"/>
                <w:lang w:val="es-ES"/>
              </w:rPr>
              <w:t xml:space="preserve">El derecho a gozar de un ambiente sano no constituye un derecho de rango fundamental, sino un derecho y un interés colectivo, </w:t>
            </w:r>
            <w:r>
              <w:rPr>
                <w:rFonts w:cs="Arial"/>
                <w:sz w:val="20"/>
                <w:szCs w:val="20"/>
                <w:lang w:val="es-ES"/>
              </w:rPr>
              <w:t>y que,</w:t>
            </w:r>
            <w:r w:rsidRPr="00EA4B23">
              <w:rPr>
                <w:rFonts w:cs="Arial"/>
                <w:sz w:val="20"/>
                <w:szCs w:val="20"/>
                <w:lang w:val="es-ES"/>
              </w:rPr>
              <w:t xml:space="preserve"> a </w:t>
            </w:r>
            <w:r w:rsidRPr="00EA4B23">
              <w:rPr>
                <w:rFonts w:cs="Arial"/>
                <w:sz w:val="20"/>
                <w:szCs w:val="20"/>
                <w:lang w:val="es-ES"/>
              </w:rPr>
              <w:lastRenderedPageBreak/>
              <w:t xml:space="preserve">criterio del legislador, cuenta para su protección, </w:t>
            </w:r>
            <w:r>
              <w:rPr>
                <w:rFonts w:cs="Arial"/>
                <w:sz w:val="20"/>
                <w:szCs w:val="20"/>
                <w:lang w:val="es-ES"/>
              </w:rPr>
              <w:t>con lo</w:t>
            </w:r>
            <w:r w:rsidRPr="00EA4B23">
              <w:rPr>
                <w:rFonts w:cs="Arial"/>
                <w:sz w:val="20"/>
                <w:szCs w:val="20"/>
                <w:lang w:val="es-ES"/>
              </w:rPr>
              <w:t>s mecanismos procesales necesarios mediante las llamadas acciones populares y las de clase o de grupo consagradas en</w:t>
            </w:r>
            <w:r>
              <w:rPr>
                <w:rFonts w:cs="Arial"/>
                <w:sz w:val="20"/>
                <w:szCs w:val="20"/>
                <w:lang w:val="es-ES"/>
              </w:rPr>
              <w:t xml:space="preserve"> el artículo 88 constitucional.</w:t>
            </w:r>
          </w:p>
          <w:p w:rsidR="00EA4B23" w:rsidRDefault="00EA4B23" w:rsidP="00DE32F9">
            <w:pPr>
              <w:jc w:val="both"/>
              <w:rPr>
                <w:rFonts w:cs="Arial"/>
                <w:sz w:val="20"/>
                <w:szCs w:val="20"/>
                <w:lang w:val="es-ES"/>
              </w:rPr>
            </w:pPr>
          </w:p>
          <w:p w:rsidR="00EA4B23" w:rsidRPr="00EA4B23" w:rsidRDefault="00EA4B23" w:rsidP="00DE32F9">
            <w:pPr>
              <w:jc w:val="both"/>
              <w:rPr>
                <w:rFonts w:cs="Arial"/>
                <w:sz w:val="20"/>
                <w:szCs w:val="20"/>
                <w:lang w:val="es-ES"/>
              </w:rPr>
            </w:pPr>
            <w:r w:rsidRPr="00EA4B23">
              <w:rPr>
                <w:rFonts w:cs="Arial"/>
                <w:sz w:val="20"/>
                <w:szCs w:val="20"/>
                <w:lang w:val="es-ES"/>
              </w:rPr>
              <w:t xml:space="preserve">Sin embargo, debe precisarse que cuando la afectación de un derecho e interés colectivo resulta una amenaza o vulneración de un derecho fundamental determinable en forma individual, procede la acción de tutela, </w:t>
            </w:r>
            <w:r w:rsidR="0041740D">
              <w:rPr>
                <w:rFonts w:cs="Arial"/>
                <w:sz w:val="20"/>
                <w:szCs w:val="20"/>
                <w:lang w:val="es-ES"/>
              </w:rPr>
              <w:t xml:space="preserve">en los casos que </w:t>
            </w:r>
            <w:r w:rsidRPr="00EA4B23">
              <w:rPr>
                <w:rFonts w:cs="Arial"/>
                <w:sz w:val="20"/>
                <w:szCs w:val="20"/>
                <w:lang w:val="es-ES"/>
              </w:rPr>
              <w:t>por la amenaza de derechos colectivos se produce la vulneración o amenaza de derechos fundamentales.</w:t>
            </w:r>
          </w:p>
        </w:tc>
        <w:tc>
          <w:tcPr>
            <w:tcW w:w="2627" w:type="dxa"/>
            <w:gridSpan w:val="2"/>
          </w:tcPr>
          <w:p w:rsidR="008E2869" w:rsidRPr="00501921" w:rsidRDefault="00603725" w:rsidP="00DE32F9">
            <w:pPr>
              <w:jc w:val="both"/>
              <w:rPr>
                <w:rFonts w:cs="Arial"/>
                <w:b/>
                <w:sz w:val="20"/>
                <w:szCs w:val="20"/>
              </w:rPr>
            </w:pPr>
            <w:r w:rsidRPr="00501921">
              <w:rPr>
                <w:rFonts w:cs="Arial"/>
                <w:b/>
                <w:sz w:val="20"/>
                <w:szCs w:val="20"/>
              </w:rPr>
              <w:lastRenderedPageBreak/>
              <w:t>La</w:t>
            </w:r>
            <w:r w:rsidR="008E2869" w:rsidRPr="00501921">
              <w:rPr>
                <w:rFonts w:cs="Arial"/>
                <w:b/>
                <w:sz w:val="20"/>
                <w:szCs w:val="20"/>
              </w:rPr>
              <w:t xml:space="preserve"> CORTE</w:t>
            </w:r>
            <w:r w:rsidR="00583CB4" w:rsidRPr="00501921">
              <w:rPr>
                <w:rFonts w:cs="Arial"/>
                <w:b/>
                <w:sz w:val="20"/>
                <w:szCs w:val="20"/>
              </w:rPr>
              <w:t xml:space="preserve"> CONSTITUCIONAL</w:t>
            </w:r>
            <w:r w:rsidR="008E2869" w:rsidRPr="00501921">
              <w:rPr>
                <w:rFonts w:cs="Arial"/>
                <w:b/>
                <w:sz w:val="20"/>
                <w:szCs w:val="20"/>
              </w:rPr>
              <w:t xml:space="preserve"> resolvió</w:t>
            </w:r>
            <w:r w:rsidR="0061595C" w:rsidRPr="00501921">
              <w:rPr>
                <w:rFonts w:cs="Arial"/>
                <w:b/>
                <w:sz w:val="20"/>
                <w:szCs w:val="20"/>
              </w:rPr>
              <w:t xml:space="preserve">: </w:t>
            </w:r>
          </w:p>
          <w:p w:rsidR="007E4AED" w:rsidRPr="007E4AED" w:rsidRDefault="007E4AED" w:rsidP="00DE32F9">
            <w:pPr>
              <w:jc w:val="both"/>
              <w:rPr>
                <w:rFonts w:cs="Arial"/>
                <w:b/>
                <w:sz w:val="20"/>
                <w:szCs w:val="20"/>
              </w:rPr>
            </w:pPr>
          </w:p>
          <w:p w:rsidR="00603725" w:rsidRPr="007E4AED" w:rsidRDefault="00501921" w:rsidP="00DE32F9">
            <w:pPr>
              <w:jc w:val="both"/>
              <w:rPr>
                <w:rFonts w:eastAsia="Batang" w:cs="Arial"/>
                <w:sz w:val="20"/>
                <w:szCs w:val="20"/>
              </w:rPr>
            </w:pPr>
            <w:r>
              <w:rPr>
                <w:rFonts w:eastAsia="Batang" w:cs="Arial"/>
                <w:sz w:val="20"/>
                <w:szCs w:val="20"/>
              </w:rPr>
              <w:t>CONFIRMÓ</w:t>
            </w:r>
            <w:r w:rsidR="00603725" w:rsidRPr="007E4AED">
              <w:rPr>
                <w:rFonts w:eastAsia="Batang" w:cs="Arial"/>
                <w:sz w:val="20"/>
                <w:szCs w:val="20"/>
              </w:rPr>
              <w:t xml:space="preserve"> la sentencia proferida por la Sala de Casación Penal de la Corte Suprema de Justicia el 2 de septiembre de 1.998, adicionando que a la Corporación Autónoma Regional del Magdalena, CORPAMAG deberá trazar un cronograma y evaluar su cumplimiento, conforme a lo expuesto en la parte motiva</w:t>
            </w:r>
            <w:r w:rsidR="007E4AED" w:rsidRPr="007E4AED">
              <w:rPr>
                <w:rFonts w:eastAsia="Batang" w:cs="Arial"/>
                <w:sz w:val="20"/>
                <w:szCs w:val="20"/>
              </w:rPr>
              <w:t xml:space="preserve"> para llevar a cabo un</w:t>
            </w:r>
            <w:r w:rsidR="00603725" w:rsidRPr="007E4AED">
              <w:rPr>
                <w:rFonts w:eastAsia="Batang" w:cs="Arial"/>
                <w:sz w:val="20"/>
                <w:szCs w:val="20"/>
              </w:rPr>
              <w:t xml:space="preserve"> efectivo control de la contaminación</w:t>
            </w:r>
            <w:r w:rsidR="007E4AED" w:rsidRPr="007E4AED">
              <w:rPr>
                <w:rFonts w:eastAsia="Batang" w:cs="Arial"/>
                <w:sz w:val="20"/>
                <w:szCs w:val="20"/>
              </w:rPr>
              <w:t xml:space="preserve"> que se origine,</w:t>
            </w:r>
            <w:r w:rsidR="00603725" w:rsidRPr="007E4AED">
              <w:rPr>
                <w:rFonts w:eastAsia="Batang" w:cs="Arial"/>
                <w:sz w:val="20"/>
                <w:szCs w:val="20"/>
              </w:rPr>
              <w:t xml:space="preserve"> gastos que estarán a cargo de C.I. PRODECO S.A.</w:t>
            </w:r>
            <w:r w:rsidR="007E4AED" w:rsidRPr="007E4AED">
              <w:rPr>
                <w:rFonts w:eastAsia="Batang" w:cs="Arial"/>
                <w:sz w:val="20"/>
                <w:szCs w:val="20"/>
              </w:rPr>
              <w:t>, como también enviar</w:t>
            </w:r>
            <w:r w:rsidR="00603725" w:rsidRPr="007E4AED">
              <w:rPr>
                <w:rFonts w:eastAsia="Batang" w:cs="Arial"/>
                <w:sz w:val="20"/>
                <w:szCs w:val="20"/>
              </w:rPr>
              <w:t xml:space="preserve"> copia de las </w:t>
            </w:r>
            <w:r w:rsidR="00603725" w:rsidRPr="007E4AED">
              <w:rPr>
                <w:rFonts w:eastAsia="Batang" w:cs="Arial"/>
                <w:sz w:val="20"/>
                <w:szCs w:val="20"/>
              </w:rPr>
              <w:lastRenderedPageBreak/>
              <w:t>conclusiones de la evaluación que se lleve a la Defensoría del Pueblo de Santa Marta y a las personas tuteladas.</w:t>
            </w:r>
          </w:p>
          <w:p w:rsidR="00603725" w:rsidRPr="007E4AED" w:rsidRDefault="007E4AED" w:rsidP="00DE32F9">
            <w:pPr>
              <w:jc w:val="both"/>
              <w:rPr>
                <w:rFonts w:eastAsia="Batang" w:cs="Arial"/>
                <w:sz w:val="20"/>
                <w:szCs w:val="20"/>
              </w:rPr>
            </w:pPr>
            <w:r w:rsidRPr="007E4AED">
              <w:rPr>
                <w:rFonts w:eastAsia="Batang" w:cs="Arial"/>
                <w:sz w:val="20"/>
                <w:szCs w:val="20"/>
              </w:rPr>
              <w:t>Como segunda medida está la de</w:t>
            </w:r>
            <w:r w:rsidR="00603725" w:rsidRPr="007E4AED">
              <w:rPr>
                <w:rFonts w:eastAsia="Batang" w:cs="Arial"/>
                <w:sz w:val="20"/>
                <w:szCs w:val="20"/>
              </w:rPr>
              <w:t xml:space="preserve"> facilitar la evaluación de los controles de contaminación, el Fondo Común Los Alcatraces facilitará la instalación de los controles que ordene CORPAMAG.</w:t>
            </w:r>
          </w:p>
          <w:p w:rsidR="00603725" w:rsidRPr="007E4AED" w:rsidRDefault="00603725" w:rsidP="00DE32F9">
            <w:pPr>
              <w:jc w:val="both"/>
              <w:rPr>
                <w:rFonts w:eastAsia="Batang" w:cs="Arial"/>
                <w:sz w:val="20"/>
                <w:szCs w:val="20"/>
              </w:rPr>
            </w:pPr>
          </w:p>
          <w:p w:rsidR="00020F77" w:rsidRPr="00BC5A7A" w:rsidRDefault="00020F77" w:rsidP="00DE32F9">
            <w:pPr>
              <w:jc w:val="both"/>
              <w:rPr>
                <w:rFonts w:eastAsia="Batang" w:cs="Arial"/>
                <w:color w:val="FF0000"/>
                <w:sz w:val="20"/>
                <w:szCs w:val="20"/>
              </w:rPr>
            </w:pPr>
          </w:p>
        </w:tc>
      </w:tr>
      <w:tr w:rsidR="001A1FA4" w:rsidRPr="00BC5A7A" w:rsidTr="00DE32F9">
        <w:trPr>
          <w:trHeight w:val="822"/>
        </w:trPr>
        <w:tc>
          <w:tcPr>
            <w:tcW w:w="13751" w:type="dxa"/>
            <w:gridSpan w:val="6"/>
          </w:tcPr>
          <w:p w:rsidR="00EF6DF8" w:rsidRPr="00BC5A7A" w:rsidRDefault="000955EA" w:rsidP="00DE32F9">
            <w:pPr>
              <w:jc w:val="both"/>
              <w:rPr>
                <w:rFonts w:cs="Arial"/>
                <w:b/>
                <w:color w:val="FF0000"/>
                <w:sz w:val="20"/>
                <w:szCs w:val="20"/>
              </w:rPr>
            </w:pPr>
            <w:r w:rsidRPr="00DE32F9">
              <w:rPr>
                <w:rFonts w:cs="Arial"/>
                <w:b/>
                <w:sz w:val="20"/>
                <w:szCs w:val="20"/>
              </w:rPr>
              <w:lastRenderedPageBreak/>
              <w:t>COMENTARIO:</w:t>
            </w:r>
            <w:r w:rsidR="00583CB4" w:rsidRPr="00DE32F9">
              <w:rPr>
                <w:rFonts w:cs="Arial"/>
                <w:b/>
                <w:sz w:val="20"/>
                <w:szCs w:val="20"/>
              </w:rPr>
              <w:t xml:space="preserve"> </w:t>
            </w:r>
            <w:r w:rsidR="0041740D" w:rsidRPr="00DE32F9">
              <w:rPr>
                <w:rFonts w:cs="Arial"/>
                <w:sz w:val="20"/>
                <w:szCs w:val="20"/>
              </w:rPr>
              <w:t xml:space="preserve">Uno de los pilares de una democracia como es el caso colombiano, es la libertad de empresa, claro está, que el ejercicio de dicha actividad se encuentre dentro de los parámetros establecidos en la constitución y la ley. Dentro de estos parámetros, se encuentra el que el ejercicio de dicha libertad no afecte a terceros que no intervienen en el ejercicio de la misma, y más cuando se les vulnera sus derechos fundamentales. Es por esta razón, que la Corte Constitucional, en reiteradas ocasiones, ha defendido los intereses de la comunidad, que como en el caso de la </w:t>
            </w:r>
            <w:r w:rsidR="00DE32F9" w:rsidRPr="00DE32F9">
              <w:rPr>
                <w:rFonts w:cs="Arial"/>
                <w:sz w:val="20"/>
                <w:szCs w:val="20"/>
              </w:rPr>
              <w:t xml:space="preserve">presente </w:t>
            </w:r>
            <w:r w:rsidR="0041740D" w:rsidRPr="00DE32F9">
              <w:rPr>
                <w:rFonts w:cs="Arial"/>
                <w:sz w:val="20"/>
                <w:szCs w:val="20"/>
              </w:rPr>
              <w:t>sentencia objeto de análisis, se ha visto afectada por el desarrollo de la actividad económica de la empresa C.I. PRODECO PRODUCTOS DE COLOMBIA S.A. -C.I. PR</w:t>
            </w:r>
            <w:r w:rsidR="00DE32F9" w:rsidRPr="00DE32F9">
              <w:rPr>
                <w:rFonts w:cs="Arial"/>
                <w:sz w:val="20"/>
                <w:szCs w:val="20"/>
              </w:rPr>
              <w:t>ODECO S.A.</w:t>
            </w:r>
          </w:p>
        </w:tc>
      </w:tr>
    </w:tbl>
    <w:p w:rsidR="00B5550D" w:rsidRPr="00BC5A7A" w:rsidRDefault="00B5550D" w:rsidP="008A6AA9">
      <w:pPr>
        <w:spacing w:line="240" w:lineRule="auto"/>
        <w:rPr>
          <w:rFonts w:cs="Arial"/>
          <w:b/>
          <w:color w:val="FF0000"/>
          <w:sz w:val="20"/>
          <w:szCs w:val="20"/>
        </w:rPr>
      </w:pPr>
    </w:p>
    <w:sectPr w:rsidR="00B5550D" w:rsidRPr="00BC5A7A" w:rsidSect="008A3680">
      <w:pgSz w:w="15840" w:h="12240" w:orient="landscape" w:code="1"/>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B068C"/>
    <w:multiLevelType w:val="hybridMultilevel"/>
    <w:tmpl w:val="4E72F29C"/>
    <w:lvl w:ilvl="0" w:tplc="AAA2B7BC">
      <w:start w:val="1"/>
      <w:numFmt w:val="lowerRoman"/>
      <w:lvlText w:val="%1)"/>
      <w:lvlJc w:val="left"/>
      <w:pPr>
        <w:ind w:left="750" w:hanging="720"/>
      </w:pPr>
      <w:rPr>
        <w:rFonts w:hint="default"/>
        <w:i w:val="0"/>
      </w:rPr>
    </w:lvl>
    <w:lvl w:ilvl="1" w:tplc="240A0019" w:tentative="1">
      <w:start w:val="1"/>
      <w:numFmt w:val="lowerLetter"/>
      <w:lvlText w:val="%2."/>
      <w:lvlJc w:val="left"/>
      <w:pPr>
        <w:ind w:left="1110" w:hanging="360"/>
      </w:pPr>
    </w:lvl>
    <w:lvl w:ilvl="2" w:tplc="240A001B" w:tentative="1">
      <w:start w:val="1"/>
      <w:numFmt w:val="lowerRoman"/>
      <w:lvlText w:val="%3."/>
      <w:lvlJc w:val="right"/>
      <w:pPr>
        <w:ind w:left="1830" w:hanging="180"/>
      </w:pPr>
    </w:lvl>
    <w:lvl w:ilvl="3" w:tplc="240A000F" w:tentative="1">
      <w:start w:val="1"/>
      <w:numFmt w:val="decimal"/>
      <w:lvlText w:val="%4."/>
      <w:lvlJc w:val="left"/>
      <w:pPr>
        <w:ind w:left="2550" w:hanging="360"/>
      </w:pPr>
    </w:lvl>
    <w:lvl w:ilvl="4" w:tplc="240A0019" w:tentative="1">
      <w:start w:val="1"/>
      <w:numFmt w:val="lowerLetter"/>
      <w:lvlText w:val="%5."/>
      <w:lvlJc w:val="left"/>
      <w:pPr>
        <w:ind w:left="3270" w:hanging="360"/>
      </w:pPr>
    </w:lvl>
    <w:lvl w:ilvl="5" w:tplc="240A001B" w:tentative="1">
      <w:start w:val="1"/>
      <w:numFmt w:val="lowerRoman"/>
      <w:lvlText w:val="%6."/>
      <w:lvlJc w:val="right"/>
      <w:pPr>
        <w:ind w:left="3990" w:hanging="180"/>
      </w:pPr>
    </w:lvl>
    <w:lvl w:ilvl="6" w:tplc="240A000F" w:tentative="1">
      <w:start w:val="1"/>
      <w:numFmt w:val="decimal"/>
      <w:lvlText w:val="%7."/>
      <w:lvlJc w:val="left"/>
      <w:pPr>
        <w:ind w:left="4710" w:hanging="360"/>
      </w:pPr>
    </w:lvl>
    <w:lvl w:ilvl="7" w:tplc="240A0019" w:tentative="1">
      <w:start w:val="1"/>
      <w:numFmt w:val="lowerLetter"/>
      <w:lvlText w:val="%8."/>
      <w:lvlJc w:val="left"/>
      <w:pPr>
        <w:ind w:left="5430" w:hanging="360"/>
      </w:pPr>
    </w:lvl>
    <w:lvl w:ilvl="8" w:tplc="240A001B" w:tentative="1">
      <w:start w:val="1"/>
      <w:numFmt w:val="lowerRoman"/>
      <w:lvlText w:val="%9."/>
      <w:lvlJc w:val="right"/>
      <w:pPr>
        <w:ind w:left="6150" w:hanging="180"/>
      </w:pPr>
    </w:lvl>
  </w:abstractNum>
  <w:abstractNum w:abstractNumId="1" w15:restartNumberingAfterBreak="0">
    <w:nsid w:val="283A65AB"/>
    <w:multiLevelType w:val="hybridMultilevel"/>
    <w:tmpl w:val="1A04536E"/>
    <w:lvl w:ilvl="0" w:tplc="CF8AA1B4">
      <w:start w:val="3"/>
      <w:numFmt w:val="bullet"/>
      <w:lvlText w:val="-"/>
      <w:lvlJc w:val="left"/>
      <w:pPr>
        <w:ind w:left="720" w:hanging="360"/>
      </w:pPr>
      <w:rPr>
        <w:rFonts w:ascii="Calibri" w:eastAsiaTheme="minorEastAsia"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62E"/>
    <w:rsid w:val="00020F77"/>
    <w:rsid w:val="00024998"/>
    <w:rsid w:val="0008555D"/>
    <w:rsid w:val="000955EA"/>
    <w:rsid w:val="000C365E"/>
    <w:rsid w:val="000F1B25"/>
    <w:rsid w:val="00140E5B"/>
    <w:rsid w:val="001658E7"/>
    <w:rsid w:val="001A1FA4"/>
    <w:rsid w:val="001C37F4"/>
    <w:rsid w:val="002646FE"/>
    <w:rsid w:val="002E1AFA"/>
    <w:rsid w:val="002E4FB0"/>
    <w:rsid w:val="002F2D28"/>
    <w:rsid w:val="002F3735"/>
    <w:rsid w:val="00324851"/>
    <w:rsid w:val="0033035B"/>
    <w:rsid w:val="003579B9"/>
    <w:rsid w:val="003835BA"/>
    <w:rsid w:val="004013E6"/>
    <w:rsid w:val="0041740D"/>
    <w:rsid w:val="00422AEB"/>
    <w:rsid w:val="004C7A77"/>
    <w:rsid w:val="004F672D"/>
    <w:rsid w:val="00501921"/>
    <w:rsid w:val="0050592C"/>
    <w:rsid w:val="00557401"/>
    <w:rsid w:val="005809FC"/>
    <w:rsid w:val="00583CB4"/>
    <w:rsid w:val="005845EB"/>
    <w:rsid w:val="005927CB"/>
    <w:rsid w:val="005A0285"/>
    <w:rsid w:val="0060347D"/>
    <w:rsid w:val="00603725"/>
    <w:rsid w:val="0061595C"/>
    <w:rsid w:val="006B7DA2"/>
    <w:rsid w:val="006C5955"/>
    <w:rsid w:val="006C7B50"/>
    <w:rsid w:val="006E66AD"/>
    <w:rsid w:val="006E6DA1"/>
    <w:rsid w:val="00722D11"/>
    <w:rsid w:val="00763030"/>
    <w:rsid w:val="00766692"/>
    <w:rsid w:val="007E26B5"/>
    <w:rsid w:val="007E4AED"/>
    <w:rsid w:val="007F1F09"/>
    <w:rsid w:val="007F6E9C"/>
    <w:rsid w:val="0083127E"/>
    <w:rsid w:val="00843A53"/>
    <w:rsid w:val="00855384"/>
    <w:rsid w:val="0085548F"/>
    <w:rsid w:val="00861A96"/>
    <w:rsid w:val="008A3680"/>
    <w:rsid w:val="008A6AA9"/>
    <w:rsid w:val="008B4876"/>
    <w:rsid w:val="008E2869"/>
    <w:rsid w:val="008F3B29"/>
    <w:rsid w:val="009704E7"/>
    <w:rsid w:val="009C5175"/>
    <w:rsid w:val="00A16635"/>
    <w:rsid w:val="00A727EC"/>
    <w:rsid w:val="00A9362E"/>
    <w:rsid w:val="00AD2E96"/>
    <w:rsid w:val="00AF2C8A"/>
    <w:rsid w:val="00B0198E"/>
    <w:rsid w:val="00B05FE7"/>
    <w:rsid w:val="00B16D86"/>
    <w:rsid w:val="00B5550D"/>
    <w:rsid w:val="00B60A0F"/>
    <w:rsid w:val="00B60F09"/>
    <w:rsid w:val="00B96873"/>
    <w:rsid w:val="00BC5A7A"/>
    <w:rsid w:val="00BE0546"/>
    <w:rsid w:val="00C2166B"/>
    <w:rsid w:val="00C65CF4"/>
    <w:rsid w:val="00C926F0"/>
    <w:rsid w:val="00C96A77"/>
    <w:rsid w:val="00CC709B"/>
    <w:rsid w:val="00CD7B99"/>
    <w:rsid w:val="00CE62D1"/>
    <w:rsid w:val="00CE6E56"/>
    <w:rsid w:val="00D0187B"/>
    <w:rsid w:val="00D042F1"/>
    <w:rsid w:val="00D10480"/>
    <w:rsid w:val="00D22948"/>
    <w:rsid w:val="00DB2D82"/>
    <w:rsid w:val="00DD1156"/>
    <w:rsid w:val="00DE32F9"/>
    <w:rsid w:val="00DF2E58"/>
    <w:rsid w:val="00E601EC"/>
    <w:rsid w:val="00E90C84"/>
    <w:rsid w:val="00E94E3E"/>
    <w:rsid w:val="00EA4B23"/>
    <w:rsid w:val="00EA5606"/>
    <w:rsid w:val="00EB535D"/>
    <w:rsid w:val="00ED47D4"/>
    <w:rsid w:val="00EF6DF8"/>
    <w:rsid w:val="00FC34F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D2377E-B777-45E4-9630-E4AC0B616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9362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xtoennegrita">
    <w:name w:val="Strong"/>
    <w:basedOn w:val="Fuentedeprrafopredeter"/>
    <w:uiPriority w:val="22"/>
    <w:qFormat/>
    <w:rsid w:val="002F3735"/>
    <w:rPr>
      <w:b/>
      <w:bCs/>
    </w:rPr>
  </w:style>
  <w:style w:type="paragraph" w:styleId="Prrafodelista">
    <w:name w:val="List Paragraph"/>
    <w:basedOn w:val="Normal"/>
    <w:uiPriority w:val="34"/>
    <w:qFormat/>
    <w:rsid w:val="007F1F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6209546">
      <w:bodyDiv w:val="1"/>
      <w:marLeft w:val="0"/>
      <w:marRight w:val="0"/>
      <w:marTop w:val="0"/>
      <w:marBottom w:val="0"/>
      <w:divBdr>
        <w:top w:val="none" w:sz="0" w:space="0" w:color="auto"/>
        <w:left w:val="none" w:sz="0" w:space="0" w:color="auto"/>
        <w:bottom w:val="none" w:sz="0" w:space="0" w:color="auto"/>
        <w:right w:val="none" w:sz="0" w:space="0" w:color="auto"/>
      </w:divBdr>
      <w:divsChild>
        <w:div w:id="225457012">
          <w:marLeft w:val="0"/>
          <w:marRight w:val="0"/>
          <w:marTop w:val="0"/>
          <w:marBottom w:val="0"/>
          <w:divBdr>
            <w:top w:val="none" w:sz="0" w:space="0" w:color="auto"/>
            <w:left w:val="none" w:sz="0" w:space="0" w:color="auto"/>
            <w:bottom w:val="none" w:sz="0" w:space="0" w:color="auto"/>
            <w:right w:val="none" w:sz="0" w:space="0" w:color="auto"/>
          </w:divBdr>
        </w:div>
        <w:div w:id="1885556650">
          <w:marLeft w:val="0"/>
          <w:marRight w:val="0"/>
          <w:marTop w:val="0"/>
          <w:marBottom w:val="0"/>
          <w:divBdr>
            <w:top w:val="none" w:sz="0" w:space="0" w:color="auto"/>
            <w:left w:val="none" w:sz="0" w:space="0" w:color="auto"/>
            <w:bottom w:val="none" w:sz="0" w:space="0" w:color="auto"/>
            <w:right w:val="none" w:sz="0" w:space="0" w:color="auto"/>
          </w:divBdr>
        </w:div>
        <w:div w:id="1082682273">
          <w:marLeft w:val="0"/>
          <w:marRight w:val="0"/>
          <w:marTop w:val="0"/>
          <w:marBottom w:val="0"/>
          <w:divBdr>
            <w:top w:val="none" w:sz="0" w:space="0" w:color="auto"/>
            <w:left w:val="none" w:sz="0" w:space="0" w:color="auto"/>
            <w:bottom w:val="none" w:sz="0" w:space="0" w:color="auto"/>
            <w:right w:val="none" w:sz="0" w:space="0" w:color="auto"/>
          </w:divBdr>
        </w:div>
        <w:div w:id="457996096">
          <w:marLeft w:val="0"/>
          <w:marRight w:val="0"/>
          <w:marTop w:val="0"/>
          <w:marBottom w:val="0"/>
          <w:divBdr>
            <w:top w:val="none" w:sz="0" w:space="0" w:color="auto"/>
            <w:left w:val="none" w:sz="0" w:space="0" w:color="auto"/>
            <w:bottom w:val="none" w:sz="0" w:space="0" w:color="auto"/>
            <w:right w:val="none" w:sz="0" w:space="0" w:color="auto"/>
          </w:divBdr>
        </w:div>
        <w:div w:id="103883667">
          <w:marLeft w:val="0"/>
          <w:marRight w:val="0"/>
          <w:marTop w:val="0"/>
          <w:marBottom w:val="0"/>
          <w:divBdr>
            <w:top w:val="none" w:sz="0" w:space="0" w:color="auto"/>
            <w:left w:val="none" w:sz="0" w:space="0" w:color="auto"/>
            <w:bottom w:val="none" w:sz="0" w:space="0" w:color="auto"/>
            <w:right w:val="none" w:sz="0" w:space="0" w:color="auto"/>
          </w:divBdr>
        </w:div>
        <w:div w:id="1065254158">
          <w:marLeft w:val="0"/>
          <w:marRight w:val="0"/>
          <w:marTop w:val="0"/>
          <w:marBottom w:val="0"/>
          <w:divBdr>
            <w:top w:val="none" w:sz="0" w:space="0" w:color="auto"/>
            <w:left w:val="none" w:sz="0" w:space="0" w:color="auto"/>
            <w:bottom w:val="none" w:sz="0" w:space="0" w:color="auto"/>
            <w:right w:val="none" w:sz="0" w:space="0" w:color="auto"/>
          </w:divBdr>
        </w:div>
        <w:div w:id="1059983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1437</Words>
  <Characters>7909</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juan.rosas</dc:creator>
  <cp:lastModifiedBy>PAOLA.MONTES</cp:lastModifiedBy>
  <cp:revision>2</cp:revision>
  <cp:lastPrinted>2014-02-03T16:03:00Z</cp:lastPrinted>
  <dcterms:created xsi:type="dcterms:W3CDTF">2017-05-30T14:06:00Z</dcterms:created>
  <dcterms:modified xsi:type="dcterms:W3CDTF">2017-05-30T14:06:00Z</dcterms:modified>
</cp:coreProperties>
</file>