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17787"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42"/>
        <w:gridCol w:w="2809"/>
        <w:gridCol w:w="10026"/>
        <w:gridCol w:w="2410"/>
      </w:tblGrid>
      <w:tr w:rsidR="006D5469" w:rsidRPr="00EC29F9" w:rsidTr="00536F35">
        <w:trPr>
          <w:trHeight w:val="703"/>
        </w:trPr>
        <w:tc>
          <w:tcPr>
            <w:tcW w:w="17787" w:type="dxa"/>
            <w:gridSpan w:val="4"/>
          </w:tcPr>
          <w:p w:rsidR="006D5469" w:rsidRPr="00EC29F9" w:rsidRDefault="006D5469" w:rsidP="006D5469">
            <w:pPr>
              <w:jc w:val="both"/>
              <w:rPr>
                <w:rFonts w:ascii="Arial" w:hAnsi="Arial" w:cs="Arial"/>
                <w:b/>
                <w:sz w:val="18"/>
                <w:szCs w:val="18"/>
              </w:rPr>
            </w:pPr>
            <w:r w:rsidRPr="00EC29F9">
              <w:rPr>
                <w:rFonts w:ascii="Arial" w:hAnsi="Arial" w:cs="Arial"/>
                <w:b/>
                <w:sz w:val="18"/>
                <w:szCs w:val="18"/>
              </w:rPr>
              <w:t>CORTE CONSTITUCIONAL SENTENCIA T- 693 DE 2012.</w:t>
            </w:r>
          </w:p>
          <w:p w:rsidR="006D5469" w:rsidRPr="00EC29F9" w:rsidRDefault="006D5469" w:rsidP="006D5469">
            <w:pPr>
              <w:jc w:val="both"/>
              <w:rPr>
                <w:rFonts w:ascii="Arial" w:hAnsi="Arial" w:cs="Arial"/>
                <w:b/>
                <w:sz w:val="18"/>
                <w:szCs w:val="18"/>
              </w:rPr>
            </w:pPr>
            <w:r w:rsidRPr="00EC29F9">
              <w:rPr>
                <w:rFonts w:ascii="Arial" w:hAnsi="Arial" w:cs="Arial"/>
                <w:b/>
                <w:sz w:val="18"/>
                <w:szCs w:val="18"/>
              </w:rPr>
              <w:t>ACCION DE TUTELA PARA LA PROTECION DE DERECHOS COLECTIVOS.</w:t>
            </w:r>
          </w:p>
          <w:p w:rsidR="006D5469" w:rsidRPr="00EC29F9" w:rsidRDefault="006D5469" w:rsidP="006D5469">
            <w:pPr>
              <w:jc w:val="both"/>
              <w:rPr>
                <w:rFonts w:ascii="Arial" w:hAnsi="Arial" w:cs="Arial"/>
                <w:b/>
                <w:sz w:val="18"/>
                <w:szCs w:val="18"/>
              </w:rPr>
            </w:pPr>
            <w:r w:rsidRPr="00EC29F9">
              <w:rPr>
                <w:rFonts w:ascii="Arial" w:hAnsi="Arial" w:cs="Arial"/>
                <w:b/>
                <w:sz w:val="18"/>
                <w:szCs w:val="18"/>
              </w:rPr>
              <w:t>ACCIONANTE: LA UNIÓN TEMPORAL DE DESARROLLO VIAL DEL VALLE DEL CAUCA Y CAUCA</w:t>
            </w:r>
          </w:p>
          <w:p w:rsidR="006D5469" w:rsidRPr="00EC29F9" w:rsidRDefault="006D5469" w:rsidP="006D5469">
            <w:pPr>
              <w:jc w:val="both"/>
              <w:rPr>
                <w:rFonts w:ascii="Arial" w:hAnsi="Arial" w:cs="Arial"/>
                <w:b/>
                <w:sz w:val="18"/>
                <w:szCs w:val="18"/>
              </w:rPr>
            </w:pPr>
            <w:r w:rsidRPr="00EC29F9">
              <w:rPr>
                <w:rFonts w:ascii="Arial" w:hAnsi="Arial" w:cs="Arial"/>
                <w:b/>
                <w:sz w:val="18"/>
                <w:szCs w:val="18"/>
              </w:rPr>
              <w:t>ACCIONADO: EL MINISTERIO DEL MEDIO AMBIENTE Y DESARROLLO SOSTENIBLE</w:t>
            </w:r>
          </w:p>
          <w:p w:rsidR="006D5469" w:rsidRPr="00EC29F9" w:rsidRDefault="006D5469" w:rsidP="006D5469">
            <w:pPr>
              <w:jc w:val="both"/>
              <w:rPr>
                <w:rFonts w:ascii="Arial" w:hAnsi="Arial" w:cs="Arial"/>
                <w:b/>
                <w:sz w:val="18"/>
                <w:szCs w:val="18"/>
              </w:rPr>
            </w:pPr>
            <w:r w:rsidRPr="00EC29F9">
              <w:rPr>
                <w:rFonts w:ascii="Arial" w:hAnsi="Arial" w:cs="Arial"/>
                <w:b/>
                <w:sz w:val="18"/>
                <w:szCs w:val="18"/>
              </w:rPr>
              <w:t>REFERENCIA EXPEDIENTE:  T-3402632</w:t>
            </w:r>
          </w:p>
          <w:p w:rsidR="006D5469" w:rsidRPr="00EC29F9" w:rsidRDefault="006D5469" w:rsidP="006D5469">
            <w:pPr>
              <w:jc w:val="both"/>
              <w:rPr>
                <w:rFonts w:ascii="Arial" w:hAnsi="Arial" w:cs="Arial"/>
                <w:color w:val="FF0000"/>
                <w:sz w:val="18"/>
                <w:szCs w:val="18"/>
              </w:rPr>
            </w:pPr>
            <w:r w:rsidRPr="00EC29F9">
              <w:rPr>
                <w:rFonts w:ascii="Arial" w:hAnsi="Arial" w:cs="Arial"/>
                <w:b/>
                <w:sz w:val="18"/>
                <w:szCs w:val="18"/>
              </w:rPr>
              <w:t>BOGOTA D.C. veintiocho (28) de agosto de dos mil doce (2012)</w:t>
            </w:r>
          </w:p>
        </w:tc>
      </w:tr>
      <w:tr w:rsidR="006D5469" w:rsidRPr="00EC29F9" w:rsidTr="00536F3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firstRow="1" w:lastRow="0" w:firstColumn="1" w:lastColumn="0" w:noHBand="0" w:noVBand="1"/>
        </w:tblPrEx>
        <w:trPr>
          <w:trHeight w:val="450"/>
        </w:trPr>
        <w:tc>
          <w:tcPr>
            <w:tcW w:w="17787" w:type="dxa"/>
            <w:gridSpan w:val="4"/>
          </w:tcPr>
          <w:p w:rsidR="006D5469" w:rsidRPr="00EC29F9" w:rsidRDefault="006D5469" w:rsidP="006D5469">
            <w:pPr>
              <w:jc w:val="both"/>
              <w:rPr>
                <w:rFonts w:ascii="Arial" w:hAnsi="Arial" w:cs="Arial"/>
                <w:sz w:val="18"/>
                <w:szCs w:val="18"/>
              </w:rPr>
            </w:pPr>
            <w:r w:rsidRPr="00EC29F9">
              <w:rPr>
                <w:rFonts w:ascii="Arial" w:hAnsi="Arial" w:cs="Arial"/>
                <w:b/>
                <w:sz w:val="18"/>
                <w:szCs w:val="18"/>
              </w:rPr>
              <w:t xml:space="preserve">PROBLEMA JURIDICO: </w:t>
            </w:r>
            <w:r w:rsidRPr="00EC29F9">
              <w:rPr>
                <w:rFonts w:ascii="Arial" w:hAnsi="Arial" w:cs="Arial"/>
                <w:sz w:val="18"/>
                <w:szCs w:val="18"/>
              </w:rPr>
              <w:t>Viola el derecho al debido proceso administrativo de una sociedad (la Unión Temporal de Desarrollo Vial del Valle del Cauca y Cauca) que celebró en el año 2006 un contrato adicional para la construcción de la segunda calzada del tramo Mediacanoa-Loboguerrero (Tramo 07), que en los años 2007 y 2008, luego de haber obtenido del Ministerio del Interior para cada uno de los tres sectores del proyecto las certificaciones sobre la no presencia de comunidades negras en el área de influencia del proyecto vial y presentar en el año 2011 una solicitud para la obtención de la licencia ambiental para el Sector 1 del Tramo 07, el Ministerio del Ambiente, la Vivienda y el Desarrollo Territorial le exija la actualización de dichas certificaciones, debido a que desde el año 2009, de manera reiterada varios consejos comunitarios en el área de influencia del proyecto vial, habían solicitado ser objeto de consulta previa, luego de haber sido inscritos en el 2009 como tales por la alcaldía del municipio de Dagua, a pesar de que el Decreto 1320 de 1998 no exige para la construcción de tales proyectos una actualización de dichas certificaciones?</w:t>
            </w:r>
          </w:p>
        </w:tc>
      </w:tr>
      <w:tr w:rsidR="006D5469" w:rsidRPr="00EC29F9" w:rsidTr="00536F35">
        <w:trPr>
          <w:trHeight w:val="536"/>
        </w:trPr>
        <w:tc>
          <w:tcPr>
            <w:tcW w:w="2542" w:type="dxa"/>
          </w:tcPr>
          <w:p w:rsidR="006D5469" w:rsidRPr="00EC29F9" w:rsidRDefault="006D5469" w:rsidP="00EC29F9">
            <w:pPr>
              <w:jc w:val="center"/>
              <w:rPr>
                <w:rFonts w:ascii="Arial" w:hAnsi="Arial" w:cs="Arial"/>
                <w:b/>
                <w:color w:val="FF0000"/>
                <w:sz w:val="18"/>
                <w:szCs w:val="18"/>
              </w:rPr>
            </w:pPr>
            <w:r w:rsidRPr="00EC29F9">
              <w:rPr>
                <w:rFonts w:ascii="Arial" w:hAnsi="Arial" w:cs="Arial"/>
                <w:b/>
                <w:sz w:val="18"/>
                <w:szCs w:val="18"/>
              </w:rPr>
              <w:t>HECHOS</w:t>
            </w:r>
          </w:p>
        </w:tc>
        <w:tc>
          <w:tcPr>
            <w:tcW w:w="2809" w:type="dxa"/>
          </w:tcPr>
          <w:p w:rsidR="006D5469" w:rsidRPr="00EC29F9" w:rsidRDefault="006D5469" w:rsidP="00EC29F9">
            <w:pPr>
              <w:jc w:val="center"/>
              <w:rPr>
                <w:rFonts w:ascii="Arial" w:hAnsi="Arial" w:cs="Arial"/>
                <w:b/>
                <w:color w:val="FF0000"/>
                <w:sz w:val="18"/>
                <w:szCs w:val="18"/>
              </w:rPr>
            </w:pPr>
            <w:r w:rsidRPr="00EC29F9">
              <w:rPr>
                <w:rFonts w:ascii="Arial" w:hAnsi="Arial" w:cs="Arial"/>
                <w:b/>
                <w:sz w:val="18"/>
                <w:szCs w:val="18"/>
              </w:rPr>
              <w:t>Sentencia de la de lo Contencioso Administrativo Sección Segunda del Consejo de Estado</w:t>
            </w:r>
          </w:p>
        </w:tc>
        <w:tc>
          <w:tcPr>
            <w:tcW w:w="10026" w:type="dxa"/>
          </w:tcPr>
          <w:p w:rsidR="006D5469" w:rsidRPr="00EC29F9" w:rsidRDefault="006D5469" w:rsidP="00EC29F9">
            <w:pPr>
              <w:jc w:val="center"/>
              <w:rPr>
                <w:rFonts w:ascii="Arial" w:hAnsi="Arial" w:cs="Arial"/>
                <w:color w:val="FF0000"/>
                <w:sz w:val="18"/>
                <w:szCs w:val="18"/>
              </w:rPr>
            </w:pPr>
            <w:r w:rsidRPr="00EC29F9">
              <w:rPr>
                <w:rFonts w:ascii="Arial" w:hAnsi="Arial" w:cs="Arial"/>
                <w:b/>
                <w:bCs/>
                <w:sz w:val="18"/>
                <w:szCs w:val="18"/>
              </w:rPr>
              <w:t>CONSIDERACIONES DE L</w:t>
            </w:r>
            <w:bookmarkStart w:id="0" w:name="_GoBack"/>
            <w:bookmarkEnd w:id="0"/>
            <w:r w:rsidRPr="00EC29F9">
              <w:rPr>
                <w:rFonts w:ascii="Arial" w:hAnsi="Arial" w:cs="Arial"/>
                <w:b/>
                <w:bCs/>
                <w:sz w:val="18"/>
                <w:szCs w:val="18"/>
              </w:rPr>
              <w:t>A CORTE CONSTITUCIONAL</w:t>
            </w:r>
          </w:p>
        </w:tc>
        <w:tc>
          <w:tcPr>
            <w:tcW w:w="2410" w:type="dxa"/>
          </w:tcPr>
          <w:p w:rsidR="006D5469" w:rsidRPr="00EC29F9" w:rsidRDefault="006D5469" w:rsidP="00EC29F9">
            <w:pPr>
              <w:jc w:val="center"/>
              <w:rPr>
                <w:rFonts w:ascii="Arial" w:hAnsi="Arial" w:cs="Arial"/>
                <w:b/>
                <w:color w:val="FF0000"/>
                <w:sz w:val="18"/>
                <w:szCs w:val="18"/>
              </w:rPr>
            </w:pPr>
            <w:r w:rsidRPr="00EC29F9">
              <w:rPr>
                <w:rFonts w:ascii="Arial" w:hAnsi="Arial" w:cs="Arial"/>
                <w:b/>
                <w:sz w:val="18"/>
                <w:szCs w:val="18"/>
              </w:rPr>
              <w:t>FALLO</w:t>
            </w:r>
          </w:p>
        </w:tc>
      </w:tr>
      <w:tr w:rsidR="006D5469" w:rsidRPr="00EC29F9" w:rsidTr="00536F35">
        <w:trPr>
          <w:trHeight w:val="558"/>
        </w:trPr>
        <w:tc>
          <w:tcPr>
            <w:tcW w:w="2542" w:type="dxa"/>
          </w:tcPr>
          <w:p w:rsidR="006D5469" w:rsidRPr="00EC29F9" w:rsidRDefault="006D5469" w:rsidP="006D5469">
            <w:pPr>
              <w:jc w:val="both"/>
              <w:rPr>
                <w:rFonts w:ascii="Arial" w:hAnsi="Arial" w:cs="Arial"/>
                <w:sz w:val="18"/>
                <w:szCs w:val="18"/>
              </w:rPr>
            </w:pPr>
            <w:r w:rsidRPr="00EC29F9">
              <w:rPr>
                <w:rFonts w:ascii="Arial" w:hAnsi="Arial" w:cs="Arial"/>
                <w:b/>
                <w:sz w:val="18"/>
                <w:szCs w:val="18"/>
              </w:rPr>
              <w:t>1.</w:t>
            </w:r>
            <w:r w:rsidRPr="00EC29F9">
              <w:rPr>
                <w:rFonts w:ascii="Arial" w:hAnsi="Arial" w:cs="Arial"/>
                <w:sz w:val="18"/>
                <w:szCs w:val="18"/>
              </w:rPr>
              <w:t xml:space="preserve"> La Unión Temporal de Desarrollo Vial del Valle del Cauca y Cauca celebró el 9 de agosto de 2006 el Contrato Número 13, adicional al “</w:t>
            </w:r>
            <w:r w:rsidRPr="00EC29F9">
              <w:rPr>
                <w:rFonts w:ascii="Arial" w:hAnsi="Arial" w:cs="Arial"/>
                <w:i/>
                <w:sz w:val="18"/>
                <w:szCs w:val="18"/>
              </w:rPr>
              <w:t>Contrato Principal 005 de 1999 - construcción de la segunda calzada del tramo Mediacanoa Loboguerrero</w:t>
            </w:r>
            <w:r w:rsidRPr="00EC29F9">
              <w:rPr>
                <w:rFonts w:ascii="Arial" w:hAnsi="Arial" w:cs="Arial"/>
                <w:sz w:val="18"/>
                <w:szCs w:val="18"/>
              </w:rPr>
              <w:t>”, para el diseño y construcción del Tramo 07.</w:t>
            </w:r>
          </w:p>
          <w:p w:rsidR="006D5469" w:rsidRPr="00EC29F9" w:rsidRDefault="006D5469" w:rsidP="006D5469">
            <w:pPr>
              <w:jc w:val="both"/>
              <w:rPr>
                <w:rFonts w:ascii="Arial" w:hAnsi="Arial" w:cs="Arial"/>
                <w:sz w:val="18"/>
                <w:szCs w:val="18"/>
              </w:rPr>
            </w:pPr>
          </w:p>
          <w:p w:rsidR="006D5469" w:rsidRPr="00EC29F9" w:rsidRDefault="006D5469" w:rsidP="006D5469">
            <w:pPr>
              <w:jc w:val="both"/>
              <w:rPr>
                <w:rFonts w:ascii="Arial" w:hAnsi="Arial" w:cs="Arial"/>
                <w:sz w:val="18"/>
                <w:szCs w:val="18"/>
              </w:rPr>
            </w:pPr>
            <w:r w:rsidRPr="00EC29F9">
              <w:rPr>
                <w:rFonts w:ascii="Arial" w:hAnsi="Arial" w:cs="Arial"/>
                <w:b/>
                <w:sz w:val="18"/>
                <w:szCs w:val="18"/>
              </w:rPr>
              <w:lastRenderedPageBreak/>
              <w:t>2.</w:t>
            </w:r>
            <w:r w:rsidRPr="00EC29F9">
              <w:rPr>
                <w:rFonts w:ascii="Arial" w:hAnsi="Arial" w:cs="Arial"/>
                <w:sz w:val="18"/>
                <w:szCs w:val="18"/>
              </w:rPr>
              <w:t xml:space="preserve"> El 22 de agosto de 2006, el accionante inició la elaboración de los diseños de la segunda calzada y simultáneamente se iniciaron los estudios ambientales para la respectiva licencia ambiental de conformidad con lo que establece la Ley 99 de 1993, para lo cual solicitó al Ministerio del Interior y de Justicia certificaciones sobre la presencia de comunidades indígenas y negras en el área del proyecto.</w:t>
            </w:r>
          </w:p>
          <w:p w:rsidR="006D5469" w:rsidRPr="00EC29F9" w:rsidRDefault="006D5469" w:rsidP="006D5469">
            <w:pPr>
              <w:jc w:val="both"/>
              <w:rPr>
                <w:rFonts w:ascii="Arial" w:hAnsi="Arial" w:cs="Arial"/>
                <w:b/>
                <w:sz w:val="18"/>
                <w:szCs w:val="18"/>
              </w:rPr>
            </w:pPr>
          </w:p>
          <w:p w:rsidR="006D5469" w:rsidRPr="00EC29F9" w:rsidRDefault="006D5469" w:rsidP="006D5469">
            <w:pPr>
              <w:jc w:val="both"/>
              <w:rPr>
                <w:rFonts w:ascii="Arial" w:hAnsi="Arial" w:cs="Arial"/>
                <w:sz w:val="18"/>
                <w:szCs w:val="18"/>
              </w:rPr>
            </w:pPr>
            <w:r w:rsidRPr="00EC29F9">
              <w:rPr>
                <w:rFonts w:ascii="Arial" w:hAnsi="Arial" w:cs="Arial"/>
                <w:b/>
                <w:sz w:val="18"/>
                <w:szCs w:val="18"/>
              </w:rPr>
              <w:t>3.</w:t>
            </w:r>
            <w:r w:rsidRPr="00EC29F9">
              <w:rPr>
                <w:rFonts w:ascii="Arial" w:hAnsi="Arial" w:cs="Arial"/>
                <w:sz w:val="18"/>
                <w:szCs w:val="18"/>
              </w:rPr>
              <w:t xml:space="preserve"> El 11 de enero de 2007 el Ministerio del interior y de justicia certificó que de acuerdo con visita de verificación al área del proyecto no se registró presencia de comunidades indígenas ni negras en el área del proyecto. </w:t>
            </w:r>
          </w:p>
          <w:p w:rsidR="006D5469" w:rsidRPr="00EC29F9" w:rsidRDefault="006D5469" w:rsidP="006D5469">
            <w:pPr>
              <w:jc w:val="both"/>
              <w:rPr>
                <w:rFonts w:ascii="Arial" w:hAnsi="Arial" w:cs="Arial"/>
                <w:sz w:val="18"/>
                <w:szCs w:val="18"/>
              </w:rPr>
            </w:pPr>
          </w:p>
          <w:p w:rsidR="006D5469" w:rsidRPr="00EC29F9" w:rsidRDefault="006D5469" w:rsidP="006D5469">
            <w:pPr>
              <w:jc w:val="both"/>
              <w:rPr>
                <w:rFonts w:ascii="Arial" w:hAnsi="Arial" w:cs="Arial"/>
                <w:sz w:val="18"/>
                <w:szCs w:val="18"/>
              </w:rPr>
            </w:pPr>
            <w:r w:rsidRPr="00EC29F9">
              <w:rPr>
                <w:rFonts w:ascii="Arial" w:hAnsi="Arial" w:cs="Arial"/>
                <w:b/>
                <w:sz w:val="18"/>
                <w:szCs w:val="18"/>
              </w:rPr>
              <w:t>4.</w:t>
            </w:r>
            <w:r w:rsidRPr="00EC29F9">
              <w:rPr>
                <w:rFonts w:ascii="Arial" w:hAnsi="Arial" w:cs="Arial"/>
                <w:sz w:val="18"/>
                <w:szCs w:val="18"/>
              </w:rPr>
              <w:t xml:space="preserve"> El concesionario dividió el Tramo 07 en tres sectores, y creó tres expedientes distintos para cada sector, y por ello solicitó una nueva certificación de presencia de </w:t>
            </w:r>
            <w:r w:rsidRPr="00EC29F9">
              <w:rPr>
                <w:rFonts w:ascii="Arial" w:hAnsi="Arial" w:cs="Arial"/>
                <w:sz w:val="18"/>
                <w:szCs w:val="18"/>
              </w:rPr>
              <w:lastRenderedPageBreak/>
              <w:t>comunidades indígenas o negras para cada sector.</w:t>
            </w:r>
          </w:p>
          <w:p w:rsidR="006D5469" w:rsidRPr="00EC29F9" w:rsidRDefault="006D5469" w:rsidP="006D5469">
            <w:pPr>
              <w:jc w:val="both"/>
              <w:rPr>
                <w:rFonts w:ascii="Arial" w:hAnsi="Arial" w:cs="Arial"/>
                <w:sz w:val="18"/>
                <w:szCs w:val="18"/>
              </w:rPr>
            </w:pPr>
          </w:p>
          <w:p w:rsidR="006D5469" w:rsidRPr="00EC29F9" w:rsidRDefault="006D5469" w:rsidP="006D5469">
            <w:pPr>
              <w:jc w:val="both"/>
              <w:rPr>
                <w:rFonts w:ascii="Arial" w:hAnsi="Arial" w:cs="Arial"/>
                <w:sz w:val="18"/>
                <w:szCs w:val="18"/>
              </w:rPr>
            </w:pPr>
            <w:r w:rsidRPr="00EC29F9">
              <w:rPr>
                <w:rFonts w:ascii="Arial" w:hAnsi="Arial" w:cs="Arial"/>
                <w:b/>
                <w:sz w:val="18"/>
                <w:szCs w:val="18"/>
              </w:rPr>
              <w:t>5.</w:t>
            </w:r>
            <w:r w:rsidRPr="00EC29F9">
              <w:rPr>
                <w:rFonts w:ascii="Arial" w:hAnsi="Arial" w:cs="Arial"/>
                <w:sz w:val="18"/>
                <w:szCs w:val="18"/>
              </w:rPr>
              <w:t xml:space="preserve"> El 22 de abril de 2009, el Ministerio del Interior, a través de la Coordinadora del Grupo de Consulta previa certificó que no se registraba la presencia de comunidades negras en el área de influencia del sector 1 del Tramo </w:t>
            </w:r>
            <w:smartTag w:uri="urn:schemas-microsoft-com:office:smarttags" w:element="metricconverter">
              <w:smartTagPr>
                <w:attr w:name="ProductID" w:val="07, a"/>
              </w:smartTagPr>
              <w:r w:rsidRPr="00EC29F9">
                <w:rPr>
                  <w:rFonts w:ascii="Arial" w:hAnsi="Arial" w:cs="Arial"/>
                  <w:sz w:val="18"/>
                  <w:szCs w:val="18"/>
                </w:rPr>
                <w:t>07, a</w:t>
              </w:r>
            </w:smartTag>
            <w:r w:rsidRPr="00EC29F9">
              <w:rPr>
                <w:rFonts w:ascii="Arial" w:hAnsi="Arial" w:cs="Arial"/>
                <w:sz w:val="18"/>
                <w:szCs w:val="18"/>
              </w:rPr>
              <w:t xml:space="preserve"> pesar de que el informe del experto que visitó la zona, se señala que existen comunidades negras en la zona que cumplen los requisitos legales para constituirse como consejos comunitarios.</w:t>
            </w:r>
          </w:p>
          <w:p w:rsidR="006D5469" w:rsidRPr="00EC29F9" w:rsidRDefault="006D5469" w:rsidP="006D5469">
            <w:pPr>
              <w:jc w:val="both"/>
              <w:rPr>
                <w:rFonts w:ascii="Arial" w:hAnsi="Arial" w:cs="Arial"/>
                <w:sz w:val="18"/>
                <w:szCs w:val="18"/>
              </w:rPr>
            </w:pPr>
            <w:r w:rsidRPr="00EC29F9">
              <w:rPr>
                <w:rFonts w:ascii="Arial" w:hAnsi="Arial" w:cs="Arial"/>
                <w:b/>
                <w:sz w:val="18"/>
                <w:szCs w:val="18"/>
              </w:rPr>
              <w:t>6.</w:t>
            </w:r>
            <w:r w:rsidRPr="00EC29F9">
              <w:rPr>
                <w:rFonts w:ascii="Arial" w:hAnsi="Arial" w:cs="Arial"/>
                <w:sz w:val="18"/>
                <w:szCs w:val="18"/>
              </w:rPr>
              <w:t xml:space="preserve"> El 7 de febrero de 2011, el Ministerio de Ambiente y Desarrollo Sostenible, puso en conocimiento de la empresa que de manera reiterada los Consejos Comunitarios de la comunidad negra de las veredas Trapiche, Carrizales, El Naranjo, La Guinea Alta y Baja, La Puerta, La Victoria y corregimiento de Zabaletas, Loboguerrero, Zelandia y </w:t>
            </w:r>
            <w:r w:rsidRPr="00EC29F9">
              <w:rPr>
                <w:rFonts w:ascii="Arial" w:hAnsi="Arial" w:cs="Arial"/>
                <w:sz w:val="18"/>
                <w:szCs w:val="18"/>
              </w:rPr>
              <w:lastRenderedPageBreak/>
              <w:t>Juntas solicitaban ser objeto de consulta previa.</w:t>
            </w:r>
          </w:p>
          <w:p w:rsidR="006D5469" w:rsidRPr="00EC29F9" w:rsidRDefault="006D5469" w:rsidP="006D5469">
            <w:pPr>
              <w:jc w:val="both"/>
              <w:rPr>
                <w:rFonts w:ascii="Arial" w:hAnsi="Arial" w:cs="Arial"/>
                <w:sz w:val="18"/>
                <w:szCs w:val="18"/>
              </w:rPr>
            </w:pPr>
            <w:r w:rsidRPr="00EC29F9">
              <w:rPr>
                <w:rFonts w:ascii="Arial" w:hAnsi="Arial" w:cs="Arial"/>
                <w:b/>
                <w:sz w:val="18"/>
                <w:szCs w:val="18"/>
              </w:rPr>
              <w:t>7.</w:t>
            </w:r>
            <w:r w:rsidRPr="00EC29F9">
              <w:rPr>
                <w:rFonts w:ascii="Arial" w:hAnsi="Arial" w:cs="Arial"/>
                <w:sz w:val="18"/>
                <w:szCs w:val="18"/>
              </w:rPr>
              <w:t xml:space="preserve"> El 24 de junio de 2011, el Ministerio de Ambiente y Desarrollo Sostenible estableció que hasta tanto no se resolviera el tema de la presencia de comunidades étnicas en el área de influencia del proyecto, no era posible continuar con la evaluación de los trámites de sustracción de reserva y licencia ambiental. </w:t>
            </w:r>
          </w:p>
          <w:p w:rsidR="006D5469" w:rsidRPr="00EC29F9" w:rsidRDefault="006D5469" w:rsidP="006D5469">
            <w:pPr>
              <w:jc w:val="both"/>
              <w:rPr>
                <w:rFonts w:ascii="Arial" w:hAnsi="Arial" w:cs="Arial"/>
                <w:b/>
                <w:color w:val="FF0000"/>
                <w:sz w:val="18"/>
                <w:szCs w:val="18"/>
              </w:rPr>
            </w:pPr>
          </w:p>
        </w:tc>
        <w:tc>
          <w:tcPr>
            <w:tcW w:w="2809" w:type="dxa"/>
          </w:tcPr>
          <w:p w:rsidR="006D5469" w:rsidRPr="00EC29F9" w:rsidRDefault="006D5469" w:rsidP="006D5469">
            <w:pPr>
              <w:jc w:val="both"/>
              <w:rPr>
                <w:rFonts w:ascii="Arial" w:hAnsi="Arial" w:cs="Arial"/>
                <w:sz w:val="18"/>
                <w:szCs w:val="18"/>
              </w:rPr>
            </w:pPr>
            <w:r w:rsidRPr="00EC29F9">
              <w:rPr>
                <w:rFonts w:ascii="Arial" w:hAnsi="Arial" w:cs="Arial"/>
                <w:sz w:val="18"/>
                <w:szCs w:val="18"/>
              </w:rPr>
              <w:lastRenderedPageBreak/>
              <w:t>Mediante providencia del 19 de enero de 2012, revocó el fallo de primera instancia y concedió el amparo solicitado y ordenó al Ministerio de Ambiente, Vivienda y Desarrollo Territorial continuar con el estudio de la expedición de licencia ambiental presentado por la Unión Temporal de Desarrollo Vial del Valle del Cauca y Cauca.</w:t>
            </w:r>
          </w:p>
          <w:p w:rsidR="006D5469" w:rsidRPr="00EC29F9" w:rsidRDefault="006D5469" w:rsidP="006D5469">
            <w:pPr>
              <w:jc w:val="both"/>
              <w:rPr>
                <w:rFonts w:ascii="Arial" w:hAnsi="Arial" w:cs="Arial"/>
                <w:sz w:val="18"/>
                <w:szCs w:val="18"/>
              </w:rPr>
            </w:pPr>
            <w:r w:rsidRPr="00EC29F9">
              <w:rPr>
                <w:rFonts w:ascii="Arial" w:hAnsi="Arial" w:cs="Arial"/>
                <w:sz w:val="18"/>
                <w:szCs w:val="18"/>
              </w:rPr>
              <w:t xml:space="preserve">Según el Consejo de Estado las exigencias hechas por el Ministerio accionado en relación </w:t>
            </w:r>
            <w:r w:rsidRPr="00EC29F9">
              <w:rPr>
                <w:rFonts w:ascii="Arial" w:hAnsi="Arial" w:cs="Arial"/>
                <w:sz w:val="18"/>
                <w:szCs w:val="18"/>
              </w:rPr>
              <w:lastRenderedPageBreak/>
              <w:t>con la actualización de las certificaciones desbordaba los requisitos establecidos en la ley y le imponían al administrado una carga que no podía cumplir, debido a que la autoridad ambiental con el apoyo del Grupo de Consulta Previa, la Dirección de Asuntos para Comunidades Negras, Afrocolombianas, Raizales y Palenqueras del Ministerio del Interior eran las encargadas de aclarar la presencia de grupos étnicos en la zona donde se debía realizar el proyecto vial.</w:t>
            </w:r>
          </w:p>
          <w:p w:rsidR="006D5469" w:rsidRPr="00EC29F9" w:rsidRDefault="006D5469" w:rsidP="006D5469">
            <w:pPr>
              <w:jc w:val="both"/>
              <w:rPr>
                <w:rFonts w:ascii="Arial" w:hAnsi="Arial" w:cs="Arial"/>
                <w:color w:val="FF0000"/>
                <w:sz w:val="18"/>
                <w:szCs w:val="18"/>
              </w:rPr>
            </w:pPr>
          </w:p>
        </w:tc>
        <w:tc>
          <w:tcPr>
            <w:tcW w:w="10026" w:type="dxa"/>
          </w:tcPr>
          <w:p w:rsidR="006D5469" w:rsidRPr="00EC29F9" w:rsidRDefault="006D5469" w:rsidP="006D5469">
            <w:pPr>
              <w:pStyle w:val="Ttulo2"/>
              <w:numPr>
                <w:ilvl w:val="0"/>
                <w:numId w:val="0"/>
              </w:numPr>
              <w:spacing w:line="276" w:lineRule="auto"/>
              <w:outlineLvl w:val="1"/>
              <w:rPr>
                <w:rFonts w:ascii="Arial" w:eastAsiaTheme="minorEastAsia" w:hAnsi="Arial" w:cs="Arial"/>
                <w:bCs w:val="0"/>
                <w:color w:val="auto"/>
                <w:sz w:val="18"/>
                <w:szCs w:val="18"/>
                <w:lang w:val="es-CO" w:eastAsia="es-CO"/>
              </w:rPr>
            </w:pPr>
            <w:r w:rsidRPr="00EC29F9">
              <w:rPr>
                <w:rFonts w:ascii="Arial" w:eastAsiaTheme="minorEastAsia" w:hAnsi="Arial" w:cs="Arial"/>
                <w:bCs w:val="0"/>
                <w:color w:val="auto"/>
                <w:sz w:val="18"/>
                <w:szCs w:val="18"/>
                <w:lang w:val="es-CO" w:eastAsia="es-CO"/>
              </w:rPr>
              <w:lastRenderedPageBreak/>
              <w:t>1. Procedencia excepcional de la acción de tutela contra actos administrativos.</w:t>
            </w:r>
          </w:p>
          <w:p w:rsidR="006D5469" w:rsidRPr="00EC29F9" w:rsidRDefault="006D5469" w:rsidP="006D5469">
            <w:pPr>
              <w:jc w:val="both"/>
              <w:rPr>
                <w:rFonts w:ascii="Arial" w:hAnsi="Arial" w:cs="Arial"/>
                <w:sz w:val="18"/>
                <w:szCs w:val="18"/>
              </w:rPr>
            </w:pPr>
          </w:p>
          <w:p w:rsidR="006D5469" w:rsidRPr="00EC29F9" w:rsidRDefault="006D5469" w:rsidP="006D5469">
            <w:pPr>
              <w:jc w:val="both"/>
              <w:rPr>
                <w:rFonts w:ascii="Arial" w:hAnsi="Arial" w:cs="Arial"/>
                <w:sz w:val="18"/>
                <w:szCs w:val="18"/>
              </w:rPr>
            </w:pPr>
            <w:r w:rsidRPr="00EC29F9">
              <w:rPr>
                <w:rFonts w:ascii="Arial" w:hAnsi="Arial" w:cs="Arial"/>
                <w:sz w:val="18"/>
                <w:szCs w:val="18"/>
              </w:rPr>
              <w:t>De manera reiterada la Corte ha indicado, por regla general, la improcedencia de la acción de tutela como mecanismo efectivo para la protección de los derechos fundamentales que podrían verse vulnerados o amenazados como consecuencia de la expedición de un acto administrativo, por cuanto la resolución de dicho asunto corresponde a la jurisdicción contencioso administrativa.</w:t>
            </w:r>
          </w:p>
          <w:p w:rsidR="006D5469" w:rsidRPr="00EC29F9" w:rsidRDefault="006D5469" w:rsidP="006D5469">
            <w:pPr>
              <w:jc w:val="both"/>
              <w:rPr>
                <w:rFonts w:ascii="Arial" w:hAnsi="Arial" w:cs="Arial"/>
                <w:sz w:val="18"/>
                <w:szCs w:val="18"/>
              </w:rPr>
            </w:pPr>
            <w:r w:rsidRPr="00EC29F9">
              <w:rPr>
                <w:rFonts w:ascii="Arial" w:hAnsi="Arial" w:cs="Arial"/>
                <w:sz w:val="18"/>
                <w:szCs w:val="18"/>
              </w:rPr>
              <w:t>Puesto que existen otros mecanismos judiciales y no judiciales para su defensa, como excepción a esa regla, la acción de tutela deviene en procedente cuando se utiliza como mecanismo transitorio, ante la existencia de un perjuicio irremediable, y  solamente en estos casos, el juez de tutela tiene la competencia para suspender el trámite administrativo o la aplicación del acto administrativo (artículos 7 y 8 del Decreto 2591 de 1991), mientras se surte el proceso respectivo ante la jurisdicción de lo contencioso administrativo.</w:t>
            </w:r>
          </w:p>
          <w:p w:rsidR="006D5469" w:rsidRPr="00EC29F9" w:rsidRDefault="006D5469" w:rsidP="006D5469">
            <w:pPr>
              <w:jc w:val="both"/>
              <w:rPr>
                <w:rFonts w:ascii="Arial" w:hAnsi="Arial" w:cs="Arial"/>
                <w:sz w:val="18"/>
                <w:szCs w:val="18"/>
              </w:rPr>
            </w:pPr>
            <w:r w:rsidRPr="00EC29F9">
              <w:rPr>
                <w:rFonts w:ascii="Arial" w:hAnsi="Arial" w:cs="Arial"/>
                <w:sz w:val="18"/>
                <w:szCs w:val="18"/>
              </w:rPr>
              <w:lastRenderedPageBreak/>
              <w:t>El juez constitucional ha estimado que deben concurrir unas condiciones especiales que harían procedente el amparo transitorio, como son (i) que se produzca de manera cierta y evidente una amenaza sobre un derecho fundamental; (ii) que de ocurrir no exista forma de reparar el daño producido al mismo; (iii) que su ocurrencia sea inminente; (iv) que resulte urgente la medida de protección para que el sujeto supere la condición de amenaza en la que se encuentra; y, (v) que la gravedad de los hechos, sea de tal magnitud que haga evidente la impostergabilidad de la tutela como mecanismo necesario para la protección inmediata de los derechos constitucionales fundamentales.</w:t>
            </w:r>
          </w:p>
          <w:p w:rsidR="006D5469" w:rsidRPr="00EC29F9" w:rsidRDefault="006D5469" w:rsidP="006D5469">
            <w:pPr>
              <w:pStyle w:val="Textoindependiente"/>
              <w:spacing w:line="276" w:lineRule="auto"/>
              <w:rPr>
                <w:rFonts w:eastAsiaTheme="minorEastAsia" w:cs="Arial"/>
                <w:sz w:val="18"/>
                <w:szCs w:val="18"/>
                <w:lang w:val="es-CO" w:eastAsia="es-CO"/>
              </w:rPr>
            </w:pPr>
            <w:r w:rsidRPr="00EC29F9">
              <w:rPr>
                <w:rFonts w:eastAsiaTheme="minorEastAsia" w:cs="Arial"/>
                <w:sz w:val="18"/>
                <w:szCs w:val="18"/>
                <w:lang w:val="es-CO" w:eastAsia="es-CO"/>
              </w:rPr>
              <w:t>En principio para la protección del debido proceso administrativo, las acciones judiciales ante lo contencioso administrativo pueden resultar idóneas para resolver un asunto surgido durante la ejecución de un contrato de obra pública, en el caso concreto también está en juego el derecho a la consulta previa de las comunidades negras. En esa medida, postergar la resolución de este asunto no sólo afecta los intereses de la entidad accionante, sino que puede implicar un déficit de protección a comunidades protegidas especialmente por la Carta, en cuanto a su derecho a la consulta previa.</w:t>
            </w:r>
          </w:p>
          <w:p w:rsidR="006D5469" w:rsidRPr="00EC29F9" w:rsidRDefault="006D5469" w:rsidP="006D5469">
            <w:pPr>
              <w:jc w:val="both"/>
              <w:rPr>
                <w:rFonts w:ascii="Arial" w:hAnsi="Arial" w:cs="Arial"/>
                <w:sz w:val="18"/>
                <w:szCs w:val="18"/>
              </w:rPr>
            </w:pPr>
          </w:p>
          <w:p w:rsidR="006D5469" w:rsidRPr="00EC29F9" w:rsidRDefault="006D5469" w:rsidP="006D5469">
            <w:pPr>
              <w:pStyle w:val="Ttulo2"/>
              <w:numPr>
                <w:ilvl w:val="0"/>
                <w:numId w:val="0"/>
              </w:numPr>
              <w:spacing w:line="276" w:lineRule="auto"/>
              <w:outlineLvl w:val="1"/>
              <w:rPr>
                <w:rFonts w:ascii="Arial" w:eastAsiaTheme="minorEastAsia" w:hAnsi="Arial" w:cs="Arial"/>
                <w:bCs w:val="0"/>
                <w:color w:val="auto"/>
                <w:sz w:val="18"/>
                <w:szCs w:val="18"/>
                <w:lang w:val="es-CO" w:eastAsia="es-CO"/>
              </w:rPr>
            </w:pPr>
            <w:r w:rsidRPr="00EC29F9">
              <w:rPr>
                <w:rFonts w:ascii="Arial" w:eastAsiaTheme="minorEastAsia" w:hAnsi="Arial" w:cs="Arial"/>
                <w:bCs w:val="0"/>
                <w:color w:val="auto"/>
                <w:sz w:val="18"/>
                <w:szCs w:val="18"/>
                <w:lang w:val="es-CO" w:eastAsia="es-CO"/>
              </w:rPr>
              <w:t>2. Debido proceso administrativo.</w:t>
            </w:r>
          </w:p>
          <w:p w:rsidR="006D5469" w:rsidRPr="00EC29F9" w:rsidRDefault="006D5469" w:rsidP="006D5469">
            <w:pPr>
              <w:jc w:val="both"/>
              <w:rPr>
                <w:rFonts w:ascii="Arial" w:hAnsi="Arial" w:cs="Arial"/>
                <w:sz w:val="18"/>
                <w:szCs w:val="18"/>
              </w:rPr>
            </w:pPr>
            <w:r w:rsidRPr="00EC29F9">
              <w:rPr>
                <w:rFonts w:ascii="Arial" w:hAnsi="Arial" w:cs="Arial"/>
                <w:sz w:val="18"/>
                <w:szCs w:val="18"/>
              </w:rPr>
              <w:t xml:space="preserve">La Constitución Política, en su artículo 29, prescribe que “el debido proceso se aplicará a toda clase de actuaciones judiciales y administrativas”. Se trata de un derecho fundamental de aplicación inmediata (C.P. art. 83), </w:t>
            </w:r>
            <w:proofErr w:type="gramStart"/>
            <w:r w:rsidRPr="00EC29F9">
              <w:rPr>
                <w:rFonts w:ascii="Arial" w:hAnsi="Arial" w:cs="Arial"/>
                <w:sz w:val="18"/>
                <w:szCs w:val="18"/>
              </w:rPr>
              <w:t>que</w:t>
            </w:r>
            <w:proofErr w:type="gramEnd"/>
            <w:r w:rsidRPr="00EC29F9">
              <w:rPr>
                <w:rFonts w:ascii="Arial" w:hAnsi="Arial" w:cs="Arial"/>
                <w:sz w:val="18"/>
                <w:szCs w:val="18"/>
              </w:rPr>
              <w:t xml:space="preserve"> en relación con el desarrollo de las actuaciones administrativas, pretende regular el ejercicio de las potestades discrecionales de la Administración, cuando en virtud del inicio de las mismas puedan llegar a comprometerse los derechos de los administrados.</w:t>
            </w:r>
          </w:p>
          <w:p w:rsidR="006D5469" w:rsidRPr="00EC29F9" w:rsidRDefault="006D5469" w:rsidP="006D5469">
            <w:pPr>
              <w:jc w:val="both"/>
              <w:rPr>
                <w:rFonts w:ascii="Arial" w:hAnsi="Arial" w:cs="Arial"/>
                <w:sz w:val="18"/>
                <w:szCs w:val="18"/>
              </w:rPr>
            </w:pPr>
            <w:r w:rsidRPr="00EC29F9">
              <w:rPr>
                <w:rFonts w:ascii="Arial" w:hAnsi="Arial" w:cs="Arial"/>
                <w:sz w:val="18"/>
                <w:szCs w:val="18"/>
              </w:rPr>
              <w:t>Todas las manifestaciones del ejercicio de la función pública administrativa se encuentran cobijadas por el debido proceso, tales como (i) la formación y ejecución de actos administrativos; (ii) las peticiones presentadas por los particulares; y (iii) los procesos que se adelanten contra la administración por los ciudadanos en ejercicio legítimo de su derecho de defensa.</w:t>
            </w:r>
          </w:p>
          <w:p w:rsidR="006D5469" w:rsidRPr="00EC29F9" w:rsidRDefault="006D5469" w:rsidP="006D5469">
            <w:pPr>
              <w:jc w:val="both"/>
              <w:rPr>
                <w:rFonts w:ascii="Arial" w:hAnsi="Arial" w:cs="Arial"/>
                <w:sz w:val="18"/>
                <w:szCs w:val="18"/>
              </w:rPr>
            </w:pPr>
            <w:r w:rsidRPr="00EC29F9">
              <w:rPr>
                <w:rFonts w:ascii="Arial" w:hAnsi="Arial" w:cs="Arial"/>
                <w:sz w:val="18"/>
                <w:szCs w:val="18"/>
              </w:rPr>
              <w:t>De conformidad con el artículo 36 del Código Contencioso Administrativo, toda decisión discrecional de la Administración “debe ser adecuada a los fines de la norma que la autoriza y proporcional a los hechos que le sirven de causa.”</w:t>
            </w:r>
          </w:p>
          <w:p w:rsidR="006D5469" w:rsidRPr="00EC29F9" w:rsidRDefault="006D5469" w:rsidP="006D5469">
            <w:pPr>
              <w:jc w:val="both"/>
              <w:rPr>
                <w:rFonts w:ascii="Arial" w:hAnsi="Arial" w:cs="Arial"/>
                <w:sz w:val="18"/>
                <w:szCs w:val="18"/>
              </w:rPr>
            </w:pPr>
            <w:r w:rsidRPr="00EC29F9">
              <w:rPr>
                <w:rFonts w:ascii="Arial" w:hAnsi="Arial" w:cs="Arial"/>
                <w:sz w:val="18"/>
                <w:szCs w:val="18"/>
              </w:rPr>
              <w:t>El derecho al debido proceso administrativo actúa la garantía a todas las personas de acceder a un proceso justo y adecuado, de tal manera que la afectación o la privación de ciertos bienes jurídicos por parte del Estado, no pueda hacerse con detrimento de sus derechos fundamentales.</w:t>
            </w:r>
          </w:p>
          <w:p w:rsidR="006D5469" w:rsidRPr="00EC29F9" w:rsidRDefault="006D5469" w:rsidP="006D5469">
            <w:pPr>
              <w:jc w:val="both"/>
              <w:rPr>
                <w:rFonts w:ascii="Arial" w:hAnsi="Arial" w:cs="Arial"/>
                <w:sz w:val="18"/>
                <w:szCs w:val="18"/>
              </w:rPr>
            </w:pPr>
            <w:r w:rsidRPr="00EC29F9">
              <w:rPr>
                <w:rFonts w:ascii="Arial" w:hAnsi="Arial" w:cs="Arial"/>
                <w:sz w:val="18"/>
                <w:szCs w:val="18"/>
              </w:rPr>
              <w:t>Para controlar el ejercicio de las facultades de la Administración que se manifiesta a través de actos administrativos, independientemente de su mayor o menor discrecionalidad, por regla general proceden las acciones de nulidad y de nulidad y restablecimiento del derecho, según el caso, con la posibilidad de solicitar en determinados casos la suspensión provisional de los efectos del acto demandando.</w:t>
            </w:r>
          </w:p>
          <w:p w:rsidR="006D5469" w:rsidRPr="00EC29F9" w:rsidRDefault="006D5469" w:rsidP="006D5469">
            <w:pPr>
              <w:jc w:val="both"/>
              <w:rPr>
                <w:rFonts w:ascii="Arial" w:hAnsi="Arial" w:cs="Arial"/>
                <w:sz w:val="18"/>
                <w:szCs w:val="18"/>
              </w:rPr>
            </w:pPr>
            <w:r w:rsidRPr="00EC29F9">
              <w:rPr>
                <w:rFonts w:ascii="Arial" w:hAnsi="Arial" w:cs="Arial"/>
                <w:sz w:val="18"/>
                <w:szCs w:val="18"/>
              </w:rPr>
              <w:t xml:space="preserve">No obstante, para determinar en cada caso concreto la idoneidad de la acción de nulidad, de nulidad y restablecimiento del derecho, o de reparación directa como mecanismos de protección judicial de los derechos frente a actos administrativos “no </w:t>
            </w:r>
            <w:r w:rsidRPr="00EC29F9">
              <w:rPr>
                <w:rFonts w:ascii="Arial" w:hAnsi="Arial" w:cs="Arial"/>
                <w:sz w:val="18"/>
                <w:szCs w:val="18"/>
              </w:rPr>
              <w:lastRenderedPageBreak/>
              <w:t>es suficiente (…) la mera existencia formal de otro procedimiento o trámite de carácter judicial. Para que ello ocurra es indispensable que ese mecanismo sea idóneo y eficaz, con miras a lograr la finalidad específica de brindar inmediata y plena protección a los derechos fundamentales, de modo que su utilización asegure los efectos que se lograrían con la acción de tutela”.</w:t>
            </w:r>
          </w:p>
          <w:p w:rsidR="006D5469" w:rsidRPr="00EC29F9" w:rsidRDefault="006D5469" w:rsidP="006D5469">
            <w:pPr>
              <w:jc w:val="both"/>
              <w:rPr>
                <w:rFonts w:ascii="Arial" w:hAnsi="Arial" w:cs="Arial"/>
                <w:b/>
                <w:bCs/>
                <w:sz w:val="18"/>
                <w:szCs w:val="18"/>
              </w:rPr>
            </w:pPr>
            <w:r w:rsidRPr="00EC29F9">
              <w:rPr>
                <w:rFonts w:ascii="Arial" w:hAnsi="Arial" w:cs="Arial"/>
                <w:b/>
                <w:sz w:val="18"/>
                <w:szCs w:val="18"/>
              </w:rPr>
              <w:t>3.</w:t>
            </w:r>
            <w:r w:rsidRPr="00EC29F9">
              <w:rPr>
                <w:rFonts w:ascii="Arial" w:hAnsi="Arial" w:cs="Arial"/>
                <w:b/>
                <w:bCs/>
                <w:sz w:val="18"/>
                <w:szCs w:val="18"/>
              </w:rPr>
              <w:t xml:space="preserve"> La protección constitucional de las comunidades negras y del derecho fundamental a la consulta previa.</w:t>
            </w:r>
          </w:p>
          <w:p w:rsidR="006D5469" w:rsidRPr="00EC29F9" w:rsidRDefault="006D5469" w:rsidP="006D5469">
            <w:pPr>
              <w:jc w:val="both"/>
              <w:rPr>
                <w:rFonts w:ascii="Arial" w:hAnsi="Arial" w:cs="Arial"/>
                <w:spacing w:val="-3"/>
                <w:sz w:val="18"/>
                <w:szCs w:val="18"/>
              </w:rPr>
            </w:pPr>
            <w:r w:rsidRPr="00EC29F9">
              <w:rPr>
                <w:rFonts w:ascii="Arial" w:hAnsi="Arial" w:cs="Arial"/>
                <w:bCs/>
                <w:sz w:val="18"/>
                <w:szCs w:val="18"/>
              </w:rPr>
              <w:t xml:space="preserve">La Constitución Política, en sus artículos 1° y 7°, fijó las bases para el reconocimiento y protección de la identidad e integridad cultural y social de las comunidades negras. En el artículo 1° hace énfasis en el carácter pluralista del Estado colombiano, y en el artículo 7° dice expresamente que </w:t>
            </w:r>
            <w:r w:rsidRPr="00EC29F9">
              <w:rPr>
                <w:rFonts w:ascii="Arial" w:hAnsi="Arial" w:cs="Arial"/>
                <w:sz w:val="18"/>
                <w:szCs w:val="18"/>
              </w:rPr>
              <w:t>el</w:t>
            </w:r>
            <w:r w:rsidRPr="00EC29F9">
              <w:rPr>
                <w:rFonts w:ascii="Arial" w:hAnsi="Arial" w:cs="Arial"/>
                <w:bCs/>
                <w:sz w:val="18"/>
                <w:szCs w:val="18"/>
              </w:rPr>
              <w:t xml:space="preserve"> “</w:t>
            </w:r>
            <w:r w:rsidRPr="00EC29F9">
              <w:rPr>
                <w:rFonts w:ascii="Arial" w:hAnsi="Arial" w:cs="Arial"/>
                <w:i/>
                <w:sz w:val="18"/>
                <w:szCs w:val="18"/>
              </w:rPr>
              <w:t>Estado reconoce y protege la diversidad étnica y cultural de la Nación colombiana</w:t>
            </w:r>
            <w:r w:rsidRPr="00EC29F9">
              <w:rPr>
                <w:rFonts w:ascii="Arial" w:hAnsi="Arial" w:cs="Arial"/>
                <w:sz w:val="18"/>
                <w:szCs w:val="18"/>
              </w:rPr>
              <w:t xml:space="preserve">.” </w:t>
            </w:r>
            <w:r w:rsidRPr="00EC29F9">
              <w:rPr>
                <w:rFonts w:ascii="Arial" w:hAnsi="Arial" w:cs="Arial"/>
                <w:spacing w:val="-3"/>
                <w:sz w:val="18"/>
                <w:szCs w:val="18"/>
              </w:rPr>
              <w:t>De ese reconocimiento de la diversidad étnica y cultural depende, tal como lo ha señalado la jurisprudencia de esta Corporación, “</w:t>
            </w:r>
            <w:r w:rsidRPr="00EC29F9">
              <w:rPr>
                <w:rFonts w:ascii="Arial" w:hAnsi="Arial" w:cs="Arial"/>
                <w:i/>
                <w:spacing w:val="-3"/>
                <w:sz w:val="18"/>
                <w:szCs w:val="18"/>
              </w:rPr>
              <w:t>la subsistencia de los pueblos indígenas y tribales, y que son éstos quienes pueden conservar y proyectar en los diferentes ámbitos el carácter pluriétnico y multicultural de la nación colombiana, sustrato del Estado social de derecho acogido en la Carta</w:t>
            </w:r>
            <w:r w:rsidRPr="00EC29F9">
              <w:rPr>
                <w:rFonts w:ascii="Arial" w:hAnsi="Arial" w:cs="Arial"/>
                <w:spacing w:val="-3"/>
                <w:sz w:val="18"/>
                <w:szCs w:val="18"/>
              </w:rPr>
              <w:t>”.</w:t>
            </w:r>
          </w:p>
          <w:p w:rsidR="006D5469" w:rsidRPr="00EC29F9" w:rsidRDefault="006D5469" w:rsidP="006D5469">
            <w:pPr>
              <w:jc w:val="both"/>
              <w:rPr>
                <w:rFonts w:ascii="Arial" w:hAnsi="Arial" w:cs="Arial"/>
                <w:sz w:val="18"/>
                <w:szCs w:val="18"/>
              </w:rPr>
            </w:pPr>
            <w:r w:rsidRPr="00EC29F9">
              <w:rPr>
                <w:rFonts w:ascii="Arial" w:hAnsi="Arial" w:cs="Arial"/>
                <w:sz w:val="18"/>
                <w:szCs w:val="18"/>
              </w:rPr>
              <w:t>La Constitución hace referencia explícita a las comunidades negras en el artículo 55 transitorio. En dicha disposición se ordena al Congreso, expedir “</w:t>
            </w:r>
            <w:r w:rsidRPr="00EC29F9">
              <w:rPr>
                <w:rFonts w:ascii="Arial" w:hAnsi="Arial" w:cs="Arial"/>
                <w:i/>
                <w:sz w:val="18"/>
                <w:szCs w:val="18"/>
              </w:rPr>
              <w:t>una ley que les reconozca a las comunidades negras que han venido ocupando tierras baldías en las zonas rurales ribereñas de los ríos de la Cuenca del Pacífico, de acuerdo con sus prácticas tradicionales de producción, el derecho a la propiedad colectiva sobre las áreas que habrá de demarcar la misma ley (…)</w:t>
            </w:r>
            <w:r w:rsidRPr="00EC29F9">
              <w:rPr>
                <w:rFonts w:ascii="Arial" w:hAnsi="Arial" w:cs="Arial"/>
                <w:sz w:val="18"/>
                <w:szCs w:val="18"/>
              </w:rPr>
              <w:t>” y que establezca “</w:t>
            </w:r>
            <w:r w:rsidRPr="00EC29F9">
              <w:rPr>
                <w:rFonts w:ascii="Arial" w:hAnsi="Arial" w:cs="Arial"/>
                <w:i/>
                <w:sz w:val="18"/>
                <w:szCs w:val="18"/>
              </w:rPr>
              <w:t>mecanismos para la protección de la identidad cultural y los derechos de estas comunidades, y para el fomento de su desarrollo económico y social</w:t>
            </w:r>
            <w:r w:rsidRPr="00EC29F9">
              <w:rPr>
                <w:rFonts w:ascii="Arial" w:hAnsi="Arial" w:cs="Arial"/>
                <w:sz w:val="18"/>
                <w:szCs w:val="18"/>
              </w:rPr>
              <w:t>.” Precisa este artículo, en el parágrafo 1°, que lo dispuesto “</w:t>
            </w:r>
            <w:r w:rsidRPr="00EC29F9">
              <w:rPr>
                <w:rFonts w:ascii="Arial" w:hAnsi="Arial" w:cs="Arial"/>
                <w:i/>
                <w:sz w:val="18"/>
                <w:szCs w:val="18"/>
              </w:rPr>
              <w:t>podrá aplicarse a otras zonas del país que presenten similares condiciones, por el mismo procedimiento y previos estudio y concepto favorable de la comisión especial aquí prevista</w:t>
            </w:r>
            <w:r w:rsidRPr="00EC29F9">
              <w:rPr>
                <w:rFonts w:ascii="Arial" w:hAnsi="Arial" w:cs="Arial"/>
                <w:sz w:val="18"/>
                <w:szCs w:val="18"/>
              </w:rPr>
              <w:t>”.</w:t>
            </w:r>
          </w:p>
          <w:p w:rsidR="006D5469" w:rsidRPr="00EC29F9" w:rsidRDefault="006D5469" w:rsidP="006D5469">
            <w:pPr>
              <w:jc w:val="both"/>
              <w:rPr>
                <w:rFonts w:ascii="Arial" w:hAnsi="Arial" w:cs="Arial"/>
                <w:sz w:val="18"/>
                <w:szCs w:val="18"/>
              </w:rPr>
            </w:pPr>
            <w:r w:rsidRPr="00EC29F9">
              <w:rPr>
                <w:rFonts w:ascii="Arial" w:hAnsi="Arial" w:cs="Arial"/>
                <w:sz w:val="18"/>
                <w:szCs w:val="18"/>
              </w:rPr>
              <w:t>Dentro de los compromisos que surgen del Convenio 169 de la OIT para los Estados Partes, se encuentra que éstos están obligados a respetar la diversidad étnica y cultural de los pueblos indígenas y de los pueblos tribales, y a contribuir realmente con la conservación del valor espiritual que para todos los grupos étnicos comporta su relación con la tierra y su territorio, entendido este como “</w:t>
            </w:r>
            <w:r w:rsidRPr="00EC29F9">
              <w:rPr>
                <w:rFonts w:ascii="Arial" w:hAnsi="Arial" w:cs="Arial"/>
                <w:i/>
                <w:iCs/>
                <w:sz w:val="18"/>
                <w:szCs w:val="18"/>
              </w:rPr>
              <w:t xml:space="preserve">lo que cubre la totalidad del hábitat de las regiones que los pueblos interesados ocupan o utilizan de alguna u otra </w:t>
            </w:r>
            <w:r w:rsidRPr="00EC29F9">
              <w:rPr>
                <w:rFonts w:ascii="Arial" w:hAnsi="Arial" w:cs="Arial"/>
                <w:sz w:val="18"/>
                <w:szCs w:val="18"/>
              </w:rPr>
              <w:t>manera.</w:t>
            </w:r>
          </w:p>
          <w:p w:rsidR="006D5469" w:rsidRPr="00EC29F9" w:rsidRDefault="006D5469" w:rsidP="006D5469">
            <w:pPr>
              <w:jc w:val="both"/>
              <w:rPr>
                <w:rFonts w:ascii="Arial" w:hAnsi="Arial" w:cs="Arial"/>
                <w:sz w:val="18"/>
                <w:szCs w:val="18"/>
              </w:rPr>
            </w:pPr>
            <w:r w:rsidRPr="00EC29F9">
              <w:rPr>
                <w:rFonts w:ascii="Arial" w:hAnsi="Arial" w:cs="Arial"/>
                <w:sz w:val="18"/>
                <w:szCs w:val="18"/>
              </w:rPr>
              <w:t>El Convenio 169 de la OIT desarrolla ampliamente el derecho de estos pueblos a que los Gobiernos i) determinen sus propiedades y posesiones mediante la delimitación de los espacios efectivamente ocupados, ii) salvaguarden sus derechos a utilizar “</w:t>
            </w:r>
            <w:r w:rsidRPr="00EC29F9">
              <w:rPr>
                <w:rFonts w:ascii="Arial" w:hAnsi="Arial" w:cs="Arial"/>
                <w:i/>
                <w:iCs/>
                <w:sz w:val="18"/>
                <w:szCs w:val="18"/>
              </w:rPr>
              <w:t>las</w:t>
            </w:r>
            <w:r w:rsidRPr="00EC29F9">
              <w:rPr>
                <w:rFonts w:ascii="Arial" w:hAnsi="Arial" w:cs="Arial"/>
                <w:sz w:val="18"/>
                <w:szCs w:val="18"/>
              </w:rPr>
              <w:t xml:space="preserve"> </w:t>
            </w:r>
            <w:r w:rsidRPr="00EC29F9">
              <w:rPr>
                <w:rFonts w:ascii="Arial" w:hAnsi="Arial" w:cs="Arial"/>
                <w:i/>
                <w:iCs/>
                <w:sz w:val="18"/>
                <w:szCs w:val="18"/>
              </w:rPr>
              <w:t>tierras que no estén exclusivamente ocupadas por ellos, pero a las que hayan tenido tradicionalmente acceso para sus actividades tradicionales y de subsistencia</w:t>
            </w:r>
            <w:r w:rsidRPr="00EC29F9">
              <w:rPr>
                <w:rFonts w:ascii="Arial" w:hAnsi="Arial" w:cs="Arial"/>
                <w:sz w:val="18"/>
                <w:szCs w:val="18"/>
              </w:rPr>
              <w:t>”; y iii) protejan especial y efectivamente sus facultades de utilizar, administrar y conservar sus recursos naturales. En el evento en que no les resulte posible reconocer a los grupos étnicos derechos sobre los recursos naturales de sus territorios colectivos, el Convenio prevé el establecimiento de procedimientos “</w:t>
            </w:r>
            <w:r w:rsidRPr="00EC29F9">
              <w:rPr>
                <w:rFonts w:ascii="Arial" w:hAnsi="Arial" w:cs="Arial"/>
                <w:i/>
                <w:iCs/>
                <w:sz w:val="18"/>
                <w:szCs w:val="18"/>
              </w:rPr>
              <w:t xml:space="preserve">con miras a consultar a los pueblos interesados, a fin de determinar si los intereses de esos pueblos serían perjudicados, y en qué medida, antes de emprender o autorizar cualquier programa de prospección o explotación de los recursos existentes </w:t>
            </w:r>
            <w:r w:rsidRPr="00EC29F9">
              <w:rPr>
                <w:rFonts w:ascii="Arial" w:hAnsi="Arial" w:cs="Arial"/>
                <w:i/>
                <w:iCs/>
                <w:sz w:val="18"/>
                <w:szCs w:val="18"/>
              </w:rPr>
              <w:lastRenderedPageBreak/>
              <w:t>en sus tierras. Los pueblos interesados deberán participar siempre que sea posible en los beneficios que reporten tales actividades, y percibir una indemnización equitativa por cualquier daño que puedan sufrir como resultado de esas actividades”.</w:t>
            </w:r>
            <w:r w:rsidRPr="00EC29F9">
              <w:rPr>
                <w:rFonts w:ascii="Arial" w:hAnsi="Arial" w:cs="Arial"/>
                <w:sz w:val="18"/>
                <w:szCs w:val="18"/>
              </w:rPr>
              <w:t xml:space="preserve"> Además, dentro del espíritu de hacer realidad el reconocimiento étnico vinculado al territorio, este instrumento internacional dispone que las Partes se obligan </w:t>
            </w:r>
            <w:r w:rsidRPr="00EC29F9">
              <w:rPr>
                <w:rFonts w:ascii="Arial" w:hAnsi="Arial" w:cs="Arial"/>
                <w:i/>
                <w:iCs/>
                <w:sz w:val="18"/>
                <w:szCs w:val="18"/>
              </w:rPr>
              <w:t xml:space="preserve">“a prever sanciones apropiadas contra toda intrusión no autorizada en las tierras de los pueblos interesados o todo uso no autorizado de las mismas por personas ajenas a ellos”, </w:t>
            </w:r>
            <w:r w:rsidRPr="00EC29F9">
              <w:rPr>
                <w:rFonts w:ascii="Arial" w:hAnsi="Arial" w:cs="Arial"/>
                <w:sz w:val="18"/>
                <w:szCs w:val="18"/>
              </w:rPr>
              <w:t xml:space="preserve">como también a adoptar instrumentos que impiden tales intromisiones. </w:t>
            </w:r>
          </w:p>
          <w:p w:rsidR="006D5469" w:rsidRPr="00EC29F9" w:rsidRDefault="006D5469" w:rsidP="006D5469">
            <w:pPr>
              <w:jc w:val="both"/>
              <w:rPr>
                <w:rFonts w:ascii="Arial" w:hAnsi="Arial" w:cs="Arial"/>
                <w:sz w:val="18"/>
                <w:szCs w:val="18"/>
              </w:rPr>
            </w:pPr>
            <w:r w:rsidRPr="00EC29F9">
              <w:rPr>
                <w:rFonts w:ascii="Arial" w:hAnsi="Arial" w:cs="Arial"/>
                <w:sz w:val="18"/>
                <w:szCs w:val="18"/>
              </w:rPr>
              <w:t xml:space="preserve">En desarrollo del mandato constitucional y en cumplimiento de los compromisos internacionales asumidos por Colombia al ratificar el Convenio 169 de la OIT, se expidió la Ley 70 de 1993. Entre muchas otras garantías, la Ley 70 de 1993 reconoce la propiedad colectiva de las comunidades negras (arts. </w:t>
            </w:r>
            <w:smartTag w:uri="urn:schemas-microsoft-com:office:smarttags" w:element="metricconverter">
              <w:smartTagPr>
                <w:attr w:name="ProductID" w:val="3 a"/>
              </w:smartTagPr>
              <w:r w:rsidRPr="00EC29F9">
                <w:rPr>
                  <w:rFonts w:ascii="Arial" w:hAnsi="Arial" w:cs="Arial"/>
                  <w:sz w:val="18"/>
                  <w:szCs w:val="18"/>
                </w:rPr>
                <w:t>3 a</w:t>
              </w:r>
            </w:smartTag>
            <w:r w:rsidRPr="00EC29F9">
              <w:rPr>
                <w:rFonts w:ascii="Arial" w:hAnsi="Arial" w:cs="Arial"/>
                <w:sz w:val="18"/>
                <w:szCs w:val="18"/>
              </w:rPr>
              <w:t xml:space="preserve"> 18), contempla mecanismos para asegurar los usos sobre la tierra y la protección de los recursos naturales sobre las áreas a las que se refiere la Ley (Arts. </w:t>
            </w:r>
            <w:smartTag w:uri="urn:schemas-microsoft-com:office:smarttags" w:element="metricconverter">
              <w:smartTagPr>
                <w:attr w:name="ProductID" w:val="19 a"/>
              </w:smartTagPr>
              <w:r w:rsidRPr="00EC29F9">
                <w:rPr>
                  <w:rFonts w:ascii="Arial" w:hAnsi="Arial" w:cs="Arial"/>
                  <w:sz w:val="18"/>
                  <w:szCs w:val="18"/>
                </w:rPr>
                <w:t>19 a</w:t>
              </w:r>
            </w:smartTag>
            <w:r w:rsidRPr="00EC29F9">
              <w:rPr>
                <w:rFonts w:ascii="Arial" w:hAnsi="Arial" w:cs="Arial"/>
                <w:sz w:val="18"/>
                <w:szCs w:val="18"/>
              </w:rPr>
              <w:t xml:space="preserve"> 25), así como la protección y participación de las comunidades negras frente a la explotación y expropiación de recursos naturales no renovables (art. </w:t>
            </w:r>
            <w:smartTag w:uri="urn:schemas-microsoft-com:office:smarttags" w:element="metricconverter">
              <w:smartTagPr>
                <w:attr w:name="ProductID" w:val="26 a"/>
              </w:smartTagPr>
              <w:r w:rsidRPr="00EC29F9">
                <w:rPr>
                  <w:rFonts w:ascii="Arial" w:hAnsi="Arial" w:cs="Arial"/>
                  <w:sz w:val="18"/>
                  <w:szCs w:val="18"/>
                </w:rPr>
                <w:t>26 a</w:t>
              </w:r>
            </w:smartTag>
            <w:r w:rsidRPr="00EC29F9">
              <w:rPr>
                <w:rFonts w:ascii="Arial" w:hAnsi="Arial" w:cs="Arial"/>
                <w:sz w:val="18"/>
                <w:szCs w:val="18"/>
              </w:rPr>
              <w:t xml:space="preserve"> 31).</w:t>
            </w:r>
          </w:p>
          <w:p w:rsidR="006D5469" w:rsidRPr="00EC29F9" w:rsidRDefault="006D5469" w:rsidP="006D5469">
            <w:pPr>
              <w:jc w:val="both"/>
              <w:rPr>
                <w:rFonts w:ascii="Arial" w:hAnsi="Arial" w:cs="Arial"/>
                <w:sz w:val="18"/>
                <w:szCs w:val="18"/>
              </w:rPr>
            </w:pPr>
            <w:r w:rsidRPr="00EC29F9">
              <w:rPr>
                <w:rFonts w:ascii="Arial" w:hAnsi="Arial" w:cs="Arial"/>
                <w:sz w:val="18"/>
                <w:szCs w:val="18"/>
              </w:rPr>
              <w:t>En cuanto al derecho a la consulta previa de las comunidades étnicas, la Corte ha sostenido de manera reiterada que la participación de las comunidades étnicas en las decisiones que las afectan resulta esencial para garantizar la protección efectiva de su identidad cultural, de su autonomía y de sus territorios y para garantizar la legitimidad de las medidas adoptadas.</w:t>
            </w:r>
          </w:p>
          <w:p w:rsidR="006D5469" w:rsidRPr="00EC29F9" w:rsidRDefault="006D5469" w:rsidP="006D5469">
            <w:pPr>
              <w:jc w:val="both"/>
              <w:rPr>
                <w:rFonts w:ascii="Arial" w:hAnsi="Arial" w:cs="Arial"/>
                <w:bCs/>
                <w:iCs/>
                <w:sz w:val="18"/>
                <w:szCs w:val="18"/>
              </w:rPr>
            </w:pPr>
            <w:r w:rsidRPr="00EC29F9">
              <w:rPr>
                <w:rFonts w:ascii="Arial" w:hAnsi="Arial" w:cs="Arial"/>
                <w:bCs/>
                <w:sz w:val="18"/>
                <w:szCs w:val="18"/>
              </w:rPr>
              <w:t xml:space="preserve">En lo concerniente al ámbito temático de la consulta previa ha precisado la Corte que ésta se debe llevar a cabo respecto de cualquier aspecto que afecte directamente a la comunidad étnica, como quiera que el Convenio 169 de OIT amplió el espectro de la consulta previa a toda medida susceptible de afectar directamente a las comunidades étnicas. La jurisprudencia constitucional también ha sido enfática en afirmar que la obligación de adelantar la consulta previa no surge frente a toda medida administrativa o legislativa que sea susceptible de afectar a las comunidades étnicas, sino sólo frente a aquellas que puedan afectarlas </w:t>
            </w:r>
            <w:r w:rsidRPr="00EC29F9">
              <w:rPr>
                <w:rFonts w:ascii="Arial" w:hAnsi="Arial" w:cs="Arial"/>
                <w:bCs/>
                <w:iCs/>
                <w:sz w:val="18"/>
                <w:szCs w:val="18"/>
              </w:rPr>
              <w:t>directamente.</w:t>
            </w:r>
          </w:p>
          <w:p w:rsidR="006D5469" w:rsidRPr="00EC29F9" w:rsidRDefault="006D5469" w:rsidP="006D5469">
            <w:pPr>
              <w:jc w:val="both"/>
              <w:rPr>
                <w:rFonts w:ascii="Arial" w:hAnsi="Arial" w:cs="Arial"/>
                <w:bCs/>
                <w:i/>
                <w:sz w:val="18"/>
                <w:szCs w:val="18"/>
              </w:rPr>
            </w:pPr>
            <w:r w:rsidRPr="00EC29F9">
              <w:rPr>
                <w:rFonts w:ascii="Arial" w:hAnsi="Arial" w:cs="Arial"/>
                <w:bCs/>
                <w:sz w:val="18"/>
                <w:szCs w:val="18"/>
              </w:rPr>
              <w:t xml:space="preserve">En cuanto a la forma como se debe adelantar la consulta previa, si bien el Convenio 169 no establece un procedimiento específico, sino que otorga cierta flexibilidad, en todo caso </w:t>
            </w:r>
            <w:r w:rsidRPr="00EC29F9">
              <w:rPr>
                <w:rFonts w:ascii="Arial" w:hAnsi="Arial" w:cs="Arial"/>
                <w:bCs/>
                <w:i/>
                <w:sz w:val="18"/>
                <w:szCs w:val="18"/>
              </w:rPr>
              <w:t>“</w:t>
            </w:r>
            <w:r w:rsidRPr="00EC29F9">
              <w:rPr>
                <w:rFonts w:ascii="Arial" w:hAnsi="Arial" w:cs="Arial"/>
                <w:i/>
                <w:sz w:val="18"/>
                <w:szCs w:val="18"/>
              </w:rPr>
              <w:t xml:space="preserve">el procedimiento de consulta no queda (…) librado por entero a la discrecionalidad de las autoridades gubernamentales”. </w:t>
            </w:r>
            <w:r w:rsidRPr="00EC29F9">
              <w:rPr>
                <w:rFonts w:ascii="Arial" w:hAnsi="Arial" w:cs="Arial"/>
                <w:sz w:val="18"/>
                <w:szCs w:val="18"/>
              </w:rPr>
              <w:t>Sobre este punto l</w:t>
            </w:r>
            <w:r w:rsidRPr="00EC29F9">
              <w:rPr>
                <w:rFonts w:ascii="Arial" w:hAnsi="Arial" w:cs="Arial"/>
                <w:bCs/>
                <w:sz w:val="18"/>
                <w:szCs w:val="18"/>
              </w:rPr>
              <w:t xml:space="preserve">a Corte ha señalado que </w:t>
            </w:r>
            <w:r w:rsidRPr="00EC29F9">
              <w:rPr>
                <w:rFonts w:ascii="Arial" w:hAnsi="Arial" w:cs="Arial"/>
                <w:bCs/>
                <w:i/>
                <w:sz w:val="18"/>
                <w:szCs w:val="18"/>
              </w:rPr>
              <w:t>“en la medida en que el Convenio 169 no establece unas reglas de procedimiento y en tanto que las mismas no hayan sido fijadas en la ley,  debe atenderse a la flexibilidad que sobre el particular consagra el Convenio y al hecho de que, de acuerdo con el mismo, el trámite de la consulta se somete al principio de la buena fe, lo cual quiere decir, por un lado, que corresponde a los Estados definir las condiciones en las que se desarrollará la consulta, y por otro, que la misma, para que resulte satisfactoria a la luz del ordenamiento constitucional, debe realizarse de manera que sea efectiva y conducente, pero sin que quepa hablar, en ese contexto, de términos perentorios para su realización, ni de condiciones ineludibles para el efecto”.</w:t>
            </w:r>
          </w:p>
          <w:p w:rsidR="006D5469" w:rsidRPr="00EC29F9" w:rsidRDefault="006D5469" w:rsidP="006D5469">
            <w:pPr>
              <w:jc w:val="both"/>
              <w:rPr>
                <w:rFonts w:ascii="Arial" w:hAnsi="Arial" w:cs="Arial"/>
                <w:bCs/>
                <w:i/>
                <w:sz w:val="18"/>
                <w:szCs w:val="18"/>
              </w:rPr>
            </w:pPr>
          </w:p>
          <w:p w:rsidR="006D5469" w:rsidRPr="00EC29F9" w:rsidRDefault="006D5469" w:rsidP="006D5469">
            <w:pPr>
              <w:pStyle w:val="Ttulo2"/>
              <w:numPr>
                <w:ilvl w:val="0"/>
                <w:numId w:val="0"/>
              </w:numPr>
              <w:spacing w:line="276" w:lineRule="auto"/>
              <w:outlineLvl w:val="1"/>
              <w:rPr>
                <w:rFonts w:ascii="Arial" w:hAnsi="Arial" w:cs="Arial"/>
                <w:sz w:val="18"/>
                <w:szCs w:val="18"/>
              </w:rPr>
            </w:pPr>
            <w:r w:rsidRPr="00EC29F9">
              <w:rPr>
                <w:rFonts w:ascii="Arial" w:hAnsi="Arial" w:cs="Arial"/>
                <w:sz w:val="18"/>
                <w:szCs w:val="18"/>
              </w:rPr>
              <w:lastRenderedPageBreak/>
              <w:t>4. La expedición de licencias ambientales y el derecho a la consulta previa</w:t>
            </w:r>
          </w:p>
          <w:p w:rsidR="006D5469" w:rsidRPr="00EC29F9" w:rsidRDefault="006D5469" w:rsidP="006D5469">
            <w:pPr>
              <w:jc w:val="both"/>
              <w:rPr>
                <w:rFonts w:ascii="Arial" w:hAnsi="Arial" w:cs="Arial"/>
                <w:sz w:val="18"/>
                <w:szCs w:val="18"/>
                <w:lang w:val="es-ES" w:eastAsia="es-ES"/>
              </w:rPr>
            </w:pPr>
          </w:p>
          <w:p w:rsidR="006D5469" w:rsidRPr="00EC29F9" w:rsidRDefault="006D5469" w:rsidP="006D5469">
            <w:pPr>
              <w:jc w:val="both"/>
              <w:rPr>
                <w:rFonts w:ascii="Arial" w:hAnsi="Arial" w:cs="Arial"/>
                <w:sz w:val="18"/>
                <w:szCs w:val="18"/>
              </w:rPr>
            </w:pPr>
            <w:r w:rsidRPr="00EC29F9">
              <w:rPr>
                <w:rFonts w:ascii="Arial" w:hAnsi="Arial" w:cs="Arial"/>
                <w:sz w:val="18"/>
                <w:szCs w:val="18"/>
              </w:rPr>
              <w:t>El artículo 80 de la Carta Política establece que el Estado debe planificar “</w:t>
            </w:r>
            <w:r w:rsidRPr="00EC29F9">
              <w:rPr>
                <w:rFonts w:ascii="Arial" w:hAnsi="Arial" w:cs="Arial"/>
                <w:i/>
                <w:iCs/>
                <w:sz w:val="18"/>
                <w:szCs w:val="18"/>
              </w:rPr>
              <w:t>el manejo y aprovechamiento de los recursos naturales, para garantizar su desarrollo sostenible, su conservación, restauración o sustitución.</w:t>
            </w:r>
            <w:r w:rsidRPr="00EC29F9">
              <w:rPr>
                <w:rFonts w:ascii="Arial" w:hAnsi="Arial" w:cs="Arial"/>
                <w:sz w:val="18"/>
                <w:szCs w:val="18"/>
              </w:rPr>
              <w:t>” Así mismo, le corresponde “</w:t>
            </w:r>
            <w:r w:rsidRPr="00EC29F9">
              <w:rPr>
                <w:rFonts w:ascii="Arial" w:hAnsi="Arial" w:cs="Arial"/>
                <w:i/>
                <w:iCs/>
                <w:sz w:val="18"/>
                <w:szCs w:val="18"/>
              </w:rPr>
              <w:t>prevenir y controlar los factores de deterioro ambiental.</w:t>
            </w:r>
            <w:r w:rsidRPr="00EC29F9">
              <w:rPr>
                <w:rFonts w:ascii="Arial" w:hAnsi="Arial" w:cs="Arial"/>
                <w:sz w:val="18"/>
                <w:szCs w:val="18"/>
              </w:rPr>
              <w:t>” En desarrollo de esta previsión constitucional, esta Corporación ha sostenido en oportunidades anteriores, que las licencias ambientales cumplen un papel preventivo de protección medioambiental y en esa medida, constituyen un instrumento de desarrollo del artículo 80 constitucional.</w:t>
            </w:r>
          </w:p>
          <w:p w:rsidR="006D5469" w:rsidRPr="00EC29F9" w:rsidRDefault="006D5469" w:rsidP="006D5469">
            <w:pPr>
              <w:jc w:val="both"/>
              <w:rPr>
                <w:rFonts w:ascii="Arial" w:hAnsi="Arial" w:cs="Arial"/>
                <w:sz w:val="18"/>
                <w:szCs w:val="18"/>
              </w:rPr>
            </w:pPr>
            <w:r w:rsidRPr="00EC29F9">
              <w:rPr>
                <w:rFonts w:ascii="Arial" w:hAnsi="Arial" w:cs="Arial"/>
                <w:sz w:val="18"/>
                <w:szCs w:val="18"/>
              </w:rPr>
              <w:t>Al tratarse de un mecanismo de intervención del Estado en la economía, la Corte ha reconocido que sólo pueden exigirse aquellos requisitos expresamente consagrados por el legislador, como quiera que (i) el artículo 333 de la Constitución establece que la actividad económica y la iniciativa privada son libres y que nadie podrá exigir requisitos sin autorización de la ley. Por consiguiente, ni las corporaciones autónomas, ni las entidades territoriales, pueden imponer un nivel de exigencia más alto que el consagrado explícitamente por el legislador; (ii) el artículo 334 dispone que la intervención en la explotación de recursos naturales, para preservar un ambiente sano se hará por mandato de la ley; y (iii) el artículo 84 prohíbe imponer requisitos adicionales al ejercicio de una actividad, cuando ésta haya sido reglamentada de manera general.</w:t>
            </w:r>
          </w:p>
          <w:p w:rsidR="006D5469" w:rsidRPr="00EC29F9" w:rsidRDefault="006D5469" w:rsidP="006D5469">
            <w:pPr>
              <w:jc w:val="both"/>
              <w:rPr>
                <w:rFonts w:ascii="Arial" w:hAnsi="Arial" w:cs="Arial"/>
                <w:sz w:val="18"/>
                <w:szCs w:val="18"/>
              </w:rPr>
            </w:pPr>
            <w:r w:rsidRPr="00EC29F9">
              <w:rPr>
                <w:rFonts w:ascii="Arial" w:hAnsi="Arial" w:cs="Arial"/>
                <w:sz w:val="18"/>
                <w:szCs w:val="18"/>
              </w:rPr>
              <w:t>Sin embargo, también ha reconocido la Corte que “</w:t>
            </w:r>
            <w:r w:rsidRPr="00EC29F9">
              <w:rPr>
                <w:rFonts w:ascii="Arial" w:hAnsi="Arial" w:cs="Arial"/>
                <w:i/>
                <w:sz w:val="18"/>
                <w:szCs w:val="18"/>
              </w:rPr>
              <w:t>las garantías constitucionales de la libertad económica no impiden que las entidades descentralizadas competentes establezcan de manera autónoma requisitos para la preservación del ambiente. Así lo establece el principio de rigor subsidiario, que fue avalado por esta misma Corporación, según el cual las entidades con ámbitos de competencia territorial más reducidos no pueden disminuir el nivel de protección del medio ambiente establecido por las autoridades que tengan una competencia territorial mayor. Sin embargo, sí pueden imponer estándares más exigentes para la protección del medio ambiente en sus respectivos territorios</w:t>
            </w:r>
            <w:r w:rsidRPr="00EC29F9">
              <w:rPr>
                <w:rFonts w:ascii="Arial" w:hAnsi="Arial" w:cs="Arial"/>
                <w:sz w:val="18"/>
                <w:szCs w:val="18"/>
              </w:rPr>
              <w:t xml:space="preserve">.” En esa medida, el otorgamiento de licencias ambientales es una función en la que concurren las competencias del legislador, de la administración central, y descentralizada territorialmente y por servicios. </w:t>
            </w:r>
          </w:p>
          <w:p w:rsidR="006D5469" w:rsidRPr="00EC29F9" w:rsidRDefault="006D5469" w:rsidP="006D5469">
            <w:pPr>
              <w:jc w:val="both"/>
              <w:rPr>
                <w:rFonts w:ascii="Arial" w:hAnsi="Arial" w:cs="Arial"/>
                <w:sz w:val="18"/>
                <w:szCs w:val="18"/>
              </w:rPr>
            </w:pPr>
            <w:r w:rsidRPr="00EC29F9">
              <w:rPr>
                <w:rFonts w:ascii="Arial" w:hAnsi="Arial" w:cs="Arial"/>
                <w:sz w:val="18"/>
                <w:szCs w:val="18"/>
              </w:rPr>
              <w:t xml:space="preserve">La Ley 99 de 1993 señala en su artículo 76, una protección especial para las comunidades étnicas a fin de evitar que la explotación de los recursos naturales se haga en desmedro de su integridad cultural, social y económica. </w:t>
            </w:r>
          </w:p>
          <w:p w:rsidR="006D5469" w:rsidRPr="00EC29F9" w:rsidRDefault="006D5469" w:rsidP="006D5469">
            <w:pPr>
              <w:jc w:val="both"/>
              <w:rPr>
                <w:rFonts w:ascii="Arial" w:hAnsi="Arial" w:cs="Arial"/>
                <w:sz w:val="18"/>
                <w:szCs w:val="18"/>
              </w:rPr>
            </w:pPr>
            <w:r w:rsidRPr="00EC29F9">
              <w:rPr>
                <w:rFonts w:ascii="Arial" w:hAnsi="Arial" w:cs="Arial"/>
                <w:sz w:val="18"/>
                <w:szCs w:val="18"/>
              </w:rPr>
              <w:t xml:space="preserve">En consonancia con esta disposición, el Decreto 1320 de 1998, </w:t>
            </w:r>
            <w:r w:rsidRPr="00EC29F9">
              <w:rPr>
                <w:rFonts w:ascii="Arial" w:hAnsi="Arial" w:cs="Arial"/>
                <w:i/>
                <w:sz w:val="18"/>
                <w:szCs w:val="18"/>
                <w:lang w:val="es-ES_tradnl"/>
              </w:rPr>
              <w:t>por el cual se reglamenta la consulta previa con las comunidades indígenas y negras para la explotación de los recursos naturales dentro de su territorio,</w:t>
            </w:r>
            <w:r w:rsidRPr="00EC29F9">
              <w:rPr>
                <w:rFonts w:ascii="Arial" w:hAnsi="Arial" w:cs="Arial"/>
                <w:sz w:val="18"/>
                <w:szCs w:val="18"/>
              </w:rPr>
              <w:t xml:space="preserve"> establece el deber de realizar consulta previa no sólo cuando la obra, proyecto o actividad se vaya a adelantar en zonas de resguardo indígena o de propiedad colectiva titulada a comunidades negras, sino también sobre zonas no tituladas pero habitadas de manera regular y permanente por comunidades étnicas.</w:t>
            </w:r>
          </w:p>
          <w:p w:rsidR="006D5469" w:rsidRPr="00EC29F9" w:rsidRDefault="006D5469" w:rsidP="006D5469">
            <w:pPr>
              <w:jc w:val="both"/>
              <w:rPr>
                <w:rFonts w:ascii="Arial" w:hAnsi="Arial" w:cs="Arial"/>
                <w:sz w:val="18"/>
                <w:szCs w:val="18"/>
                <w:lang w:eastAsia="es-ES"/>
              </w:rPr>
            </w:pPr>
          </w:p>
          <w:p w:rsidR="006D5469" w:rsidRPr="00EC29F9" w:rsidRDefault="006D5469" w:rsidP="006D5469">
            <w:pPr>
              <w:jc w:val="both"/>
              <w:rPr>
                <w:rFonts w:ascii="Arial" w:hAnsi="Arial" w:cs="Arial"/>
                <w:sz w:val="18"/>
                <w:szCs w:val="18"/>
              </w:rPr>
            </w:pPr>
            <w:r w:rsidRPr="00EC29F9">
              <w:rPr>
                <w:rFonts w:ascii="Arial" w:hAnsi="Arial" w:cs="Arial"/>
                <w:sz w:val="18"/>
                <w:szCs w:val="18"/>
                <w:lang w:val="es-ES_tradnl"/>
              </w:rPr>
              <w:lastRenderedPageBreak/>
              <w:t>La existencia de una comunidad étnica, y en particular</w:t>
            </w:r>
            <w:r w:rsidRPr="00EC29F9">
              <w:rPr>
                <w:rFonts w:ascii="Arial" w:hAnsi="Arial" w:cs="Arial"/>
                <w:i/>
                <w:sz w:val="18"/>
                <w:szCs w:val="18"/>
              </w:rPr>
              <w:t xml:space="preserve"> </w:t>
            </w:r>
            <w:r w:rsidRPr="00EC29F9">
              <w:rPr>
                <w:rFonts w:ascii="Arial" w:hAnsi="Arial" w:cs="Arial"/>
                <w:sz w:val="18"/>
                <w:szCs w:val="18"/>
              </w:rPr>
              <w:t>el carácter de grupo étnico de las comunidades afrocolombianas,</w:t>
            </w:r>
            <w:r w:rsidRPr="00EC29F9">
              <w:rPr>
                <w:rFonts w:ascii="Arial" w:hAnsi="Arial" w:cs="Arial"/>
                <w:sz w:val="18"/>
                <w:szCs w:val="18"/>
                <w:lang w:val="es-ES_tradnl"/>
              </w:rPr>
              <w:t xml:space="preserve"> no surge a partir de una resolución que formalice su conformación como consejo comunitario o de la titulación de un territorio colectivo, sino del cumplimiento de condiciones materiales, referidas a factores </w:t>
            </w:r>
            <w:proofErr w:type="spellStart"/>
            <w:r w:rsidRPr="00EC29F9">
              <w:rPr>
                <w:rFonts w:ascii="Arial" w:hAnsi="Arial" w:cs="Arial"/>
                <w:sz w:val="18"/>
                <w:szCs w:val="18"/>
                <w:lang w:val="es-ES_tradnl"/>
              </w:rPr>
              <w:t>etno</w:t>
            </w:r>
            <w:proofErr w:type="spellEnd"/>
            <w:r w:rsidRPr="00EC29F9">
              <w:rPr>
                <w:rFonts w:ascii="Arial" w:hAnsi="Arial" w:cs="Arial"/>
                <w:sz w:val="18"/>
                <w:szCs w:val="18"/>
                <w:lang w:val="es-ES_tradnl"/>
              </w:rPr>
              <w:t xml:space="preserve">-culturales que </w:t>
            </w:r>
            <w:r w:rsidRPr="00EC29F9">
              <w:rPr>
                <w:rFonts w:ascii="Arial" w:hAnsi="Arial" w:cs="Arial"/>
                <w:sz w:val="18"/>
                <w:szCs w:val="18"/>
              </w:rPr>
              <w:t>no están basados exclusivamente en una identidad racial.</w:t>
            </w:r>
          </w:p>
          <w:p w:rsidR="006D5469" w:rsidRPr="00EC29F9" w:rsidRDefault="006D5469" w:rsidP="006D5469">
            <w:pPr>
              <w:jc w:val="both"/>
              <w:rPr>
                <w:rFonts w:ascii="Arial" w:hAnsi="Arial" w:cs="Arial"/>
                <w:i/>
                <w:iCs/>
                <w:sz w:val="18"/>
                <w:szCs w:val="18"/>
              </w:rPr>
            </w:pPr>
            <w:r w:rsidRPr="00EC29F9">
              <w:rPr>
                <w:rFonts w:ascii="Arial" w:hAnsi="Arial" w:cs="Arial"/>
                <w:sz w:val="18"/>
                <w:szCs w:val="18"/>
              </w:rPr>
              <w:t>En la sentencia C-169 de 2001, la Corte resaltó el carácter de grupo étnico de las comunidades negras:</w:t>
            </w:r>
            <w:r w:rsidRPr="00EC29F9">
              <w:rPr>
                <w:rFonts w:ascii="Arial" w:hAnsi="Arial" w:cs="Arial"/>
                <w:i/>
                <w:iCs/>
                <w:sz w:val="18"/>
                <w:szCs w:val="18"/>
              </w:rPr>
              <w:t xml:space="preserve"> </w:t>
            </w:r>
          </w:p>
          <w:p w:rsidR="006D5469" w:rsidRPr="00EC29F9" w:rsidRDefault="006D5469" w:rsidP="006D5469">
            <w:pPr>
              <w:jc w:val="both"/>
              <w:rPr>
                <w:rFonts w:ascii="Arial" w:hAnsi="Arial" w:cs="Arial"/>
                <w:sz w:val="18"/>
                <w:szCs w:val="18"/>
                <w:lang w:eastAsia="es-ES"/>
              </w:rPr>
            </w:pPr>
            <w:r w:rsidRPr="00EC29F9">
              <w:rPr>
                <w:rFonts w:ascii="Arial" w:hAnsi="Arial" w:cs="Arial"/>
                <w:i/>
                <w:sz w:val="18"/>
                <w:szCs w:val="18"/>
              </w:rPr>
              <w:t>“(…)</w:t>
            </w:r>
            <w:r w:rsidRPr="00EC29F9">
              <w:rPr>
                <w:rFonts w:ascii="Arial" w:hAnsi="Arial" w:cs="Arial"/>
                <w:i/>
                <w:sz w:val="18"/>
                <w:szCs w:val="18"/>
                <w:u w:val="single"/>
              </w:rPr>
              <w:t>el reconocimiento de derechos especiales a las comunidades negras no se hace en función de su "raza"</w:t>
            </w:r>
            <w:r w:rsidRPr="00EC29F9">
              <w:rPr>
                <w:rFonts w:ascii="Arial" w:hAnsi="Arial" w:cs="Arial"/>
                <w:i/>
                <w:sz w:val="18"/>
                <w:szCs w:val="18"/>
              </w:rPr>
              <w:t xml:space="preserve">, puesto que ello implicaría  presuponer que, en un país con un grado tan alto de mestizaje como lo es Colombia, existen aún "razas puras", lo cual es a todas luces inaceptable, y  llevaría a efectuar futuras distinciones (odiosas) entre quiénes se deben considerar de "raza negra" y quiénes no, para efectos de acceder a los beneficios que otorga esta ley; con ello, se retrotraería al Estado colombiano a la época de las grandes clasificaciones coloniales basadas en los distintos grados de mezcla de sangres, que sustentaban un verdadero sistema de castas excluyentes, algo frontalmente incompatible con una democracia constitucional. Lo que, es más, no sólo es un hecho reconocido que </w:t>
            </w:r>
            <w:r w:rsidRPr="00EC29F9">
              <w:rPr>
                <w:rFonts w:ascii="Arial" w:hAnsi="Arial" w:cs="Arial"/>
                <w:i/>
                <w:sz w:val="18"/>
                <w:szCs w:val="18"/>
                <w:u w:val="single"/>
              </w:rPr>
              <w:t>la categoría "raza" ha sido fundamentalmente revaluada por las ciencias sociales</w:t>
            </w:r>
            <w:r w:rsidRPr="00EC29F9">
              <w:rPr>
                <w:rFonts w:ascii="Arial" w:hAnsi="Arial" w:cs="Arial"/>
                <w:i/>
                <w:sz w:val="18"/>
                <w:szCs w:val="18"/>
              </w:rPr>
              <w:t xml:space="preserve">, sino que una clasificación semejante de los ciudadanos colombianos no podría ser objeto de una circunscripción electoral como la que se examina, ya que el artículo 176 de la Carta sólo hace referencia a grupos étnicos, y no a grupos "raciales". Por ese motivo, debe quedar claro que </w:t>
            </w:r>
            <w:r w:rsidRPr="00EC29F9">
              <w:rPr>
                <w:rFonts w:ascii="Arial" w:hAnsi="Arial" w:cs="Arial"/>
                <w:i/>
                <w:sz w:val="18"/>
                <w:szCs w:val="18"/>
                <w:u w:val="single"/>
              </w:rPr>
              <w:t>los derechos colectivos de las comunidades negras en Colombia son una función de su status en tanto grupo étnico, portador de una identidad propia que es digna de ser protegida y realzada, y no del color de la piel de sus integrantes.”</w:t>
            </w:r>
          </w:p>
          <w:p w:rsidR="006D5469" w:rsidRPr="00EC29F9" w:rsidRDefault="006D5469" w:rsidP="006D5469">
            <w:pPr>
              <w:jc w:val="both"/>
              <w:rPr>
                <w:rFonts w:ascii="Arial" w:hAnsi="Arial" w:cs="Arial"/>
                <w:sz w:val="18"/>
                <w:szCs w:val="18"/>
                <w:lang w:val="es-ES_tradnl"/>
              </w:rPr>
            </w:pPr>
            <w:r w:rsidRPr="00EC29F9">
              <w:rPr>
                <w:rFonts w:ascii="Arial" w:hAnsi="Arial" w:cs="Arial"/>
                <w:sz w:val="18"/>
                <w:szCs w:val="18"/>
                <w:lang w:val="es-ES_tradnl"/>
              </w:rPr>
              <w:t xml:space="preserve">De lo anterior surge 1) que le corresponde al Ministerio del Interior certificar la presencia de dichas comunidades en un área específica; 2) que es competencia del Incora (ahora INCODER) certificar la existencia de territorios legalmente constituidos, si los hay; 3) que la obligación de realizar consulta previa surge tanto frente comunidades étnicas ubicadas en zonas tituladas como no tituladas pero habitadas de manera permanente por las mismas; 4) que es la presencia física de las comunidades étnicas, negras o indígenas en la zona de influencia, y no su constitución formal como resguardo o consejo comunitario o su inscripción mediante resolución, la que determina la obligación de la consulta previa; y 5) que aún en el evento en que no se haya certificado la presencia de comunidades negras o indígenas en la zona de influencia de un proyecto, si durante la realización del estudio se constata la presencia de las mismas, debe garantizarse su derecho a ser consultadas. </w:t>
            </w:r>
          </w:p>
          <w:p w:rsidR="006D5469" w:rsidRPr="00EC29F9" w:rsidRDefault="006D5469" w:rsidP="006D5469">
            <w:pPr>
              <w:jc w:val="both"/>
              <w:rPr>
                <w:rFonts w:ascii="Arial" w:hAnsi="Arial" w:cs="Arial"/>
                <w:sz w:val="18"/>
                <w:szCs w:val="18"/>
                <w:lang w:val="es-ES_tradnl"/>
              </w:rPr>
            </w:pPr>
            <w:r w:rsidRPr="00EC29F9">
              <w:rPr>
                <w:rFonts w:ascii="Arial" w:hAnsi="Arial" w:cs="Arial"/>
                <w:sz w:val="18"/>
                <w:szCs w:val="18"/>
                <w:lang w:val="es-ES_tradnl"/>
              </w:rPr>
              <w:t>En el asunto bajo revisión, las certificaciones requeridas para la licencia ambiental fueron expedidas en los años 2007 y 2008 por el Ministerio del Interior afirmando que no se registraba la presencia de comunidades negras en la zona. No obstante, el informe del sociólogo que visitó la zona a principios del año 2009, como ya se mencionó, evidencia que tales comunidades sí estaban presentes en la zona de influencia del proyecto muchos años antes de que éste fuera anunciado, de manera muy similar a otras comunidades negras reconocidas legalmente en otras zonas, esto es, con prácticas etnoculturales propias de comunidades negras, con auto reconocimiento como comunidad negra a pesar de la existencia de un alto mestizaje, de la aceptación “</w:t>
            </w:r>
            <w:r w:rsidRPr="00EC29F9">
              <w:rPr>
                <w:rFonts w:ascii="Arial" w:hAnsi="Arial" w:cs="Arial"/>
                <w:i/>
                <w:sz w:val="18"/>
                <w:szCs w:val="18"/>
                <w:lang w:val="es-ES_tradnl"/>
              </w:rPr>
              <w:t>utilitarista</w:t>
            </w:r>
            <w:r w:rsidRPr="00EC29F9">
              <w:rPr>
                <w:rFonts w:ascii="Arial" w:hAnsi="Arial" w:cs="Arial"/>
                <w:sz w:val="18"/>
                <w:szCs w:val="18"/>
                <w:lang w:val="es-ES_tradnl"/>
              </w:rPr>
              <w:t>” de la figura de la junta directiva del consejo comunitario como autoridad propia</w:t>
            </w:r>
            <w:r w:rsidRPr="00EC29F9">
              <w:rPr>
                <w:rFonts w:ascii="Arial" w:hAnsi="Arial" w:cs="Arial"/>
                <w:sz w:val="18"/>
                <w:szCs w:val="18"/>
              </w:rPr>
              <w:t xml:space="preserve"> </w:t>
            </w:r>
            <w:r w:rsidRPr="00EC29F9">
              <w:rPr>
                <w:rFonts w:ascii="Arial" w:hAnsi="Arial" w:cs="Arial"/>
                <w:sz w:val="18"/>
                <w:szCs w:val="18"/>
                <w:lang w:val="es-ES_tradnl"/>
              </w:rPr>
              <w:t xml:space="preserve">y del retraso en la </w:t>
            </w:r>
            <w:r w:rsidRPr="00EC29F9">
              <w:rPr>
                <w:rFonts w:ascii="Arial" w:hAnsi="Arial" w:cs="Arial"/>
                <w:sz w:val="18"/>
                <w:szCs w:val="18"/>
                <w:lang w:val="es-ES_tradnl"/>
              </w:rPr>
              <w:lastRenderedPageBreak/>
              <w:t xml:space="preserve">constitución formal como consejo comunitario. Y tan presentes estaban que fueron registradas como consejos comunitarios en el año 2009. </w:t>
            </w:r>
          </w:p>
          <w:p w:rsidR="006D5469" w:rsidRPr="00EC29F9" w:rsidRDefault="006D5469" w:rsidP="006D5469">
            <w:pPr>
              <w:jc w:val="both"/>
              <w:rPr>
                <w:rFonts w:ascii="Arial" w:hAnsi="Arial" w:cs="Arial"/>
                <w:sz w:val="18"/>
                <w:szCs w:val="18"/>
              </w:rPr>
            </w:pPr>
            <w:r w:rsidRPr="00EC29F9">
              <w:rPr>
                <w:rFonts w:ascii="Arial" w:hAnsi="Arial" w:cs="Arial"/>
                <w:sz w:val="18"/>
                <w:szCs w:val="18"/>
              </w:rPr>
              <w:t xml:space="preserve">En esa medida, el cumplimiento formal alegado por la empresa no puede ser empleado para exonerarla de sus obligaciones frente a las comunidades negras, como quiera que el mismo Decreto 1320 de 1998 prevé la obligación de vincular a las comunidades negras que se encuentren en la zona de influencia del proyecto para la realización del estudio de impacto ambiental, cuando no se cuenta con las certificaciones exigidas. </w:t>
            </w:r>
          </w:p>
          <w:p w:rsidR="006D5469" w:rsidRPr="00EC29F9" w:rsidRDefault="006D5469" w:rsidP="006D5469">
            <w:pPr>
              <w:jc w:val="both"/>
              <w:rPr>
                <w:rFonts w:ascii="Arial" w:hAnsi="Arial" w:cs="Arial"/>
                <w:sz w:val="18"/>
                <w:szCs w:val="18"/>
                <w:lang w:val="es-ES"/>
              </w:rPr>
            </w:pPr>
            <w:r w:rsidRPr="00EC29F9">
              <w:rPr>
                <w:rFonts w:ascii="Arial" w:hAnsi="Arial" w:cs="Arial"/>
                <w:sz w:val="18"/>
                <w:szCs w:val="18"/>
                <w:lang w:val="es-ES"/>
              </w:rPr>
              <w:t>C</w:t>
            </w:r>
            <w:r w:rsidRPr="00EC29F9">
              <w:rPr>
                <w:rFonts w:ascii="Arial" w:hAnsi="Arial" w:cs="Arial"/>
                <w:sz w:val="18"/>
                <w:szCs w:val="18"/>
              </w:rPr>
              <w:t>onsidera esta Sala de Revisión que el Ministerio del Ambiente y el Desarrollo Sostenible no vulneró el derecho al debido proceso administrativo de la empresa accionante, como quiera que no estableció un requisito adicional al previsto en el Decreto 1320 de 1998, sino que teniendo en cuenta la presencia física y permanencia de comunidades negras en la zona de influencia del proyecto y su reconocimiento formal como consejo comunitario, dio aplicación a la Constitución y a la ley, así como al mismo decreto reglamentario para que se vinculara al Ministerio del Interior a través de la Oficina de Consulta Previa, para que confirmara la presencia de dichas comunidades y garantizara la protección de su derecho a la consulta previa, de tal forma que el estudio de impacto ambiental se realice con la participación de estas comunidades.</w:t>
            </w:r>
          </w:p>
        </w:tc>
        <w:tc>
          <w:tcPr>
            <w:tcW w:w="2410" w:type="dxa"/>
          </w:tcPr>
          <w:p w:rsidR="006D5469" w:rsidRPr="00EC29F9" w:rsidRDefault="006D5469" w:rsidP="006D5469">
            <w:pPr>
              <w:jc w:val="both"/>
              <w:rPr>
                <w:rFonts w:ascii="Arial" w:hAnsi="Arial" w:cs="Arial"/>
                <w:b/>
                <w:sz w:val="18"/>
                <w:szCs w:val="18"/>
              </w:rPr>
            </w:pPr>
            <w:r w:rsidRPr="00EC29F9">
              <w:rPr>
                <w:rFonts w:ascii="Arial" w:hAnsi="Arial" w:cs="Arial"/>
                <w:sz w:val="18"/>
                <w:szCs w:val="18"/>
              </w:rPr>
              <w:lastRenderedPageBreak/>
              <w:t>Analizado el caso y en mérito de lo expuesto la HONORABLE CORTE CONSTITUCIONAL resolvió:</w:t>
            </w:r>
            <w:r w:rsidRPr="00EC29F9">
              <w:rPr>
                <w:rFonts w:ascii="Arial" w:hAnsi="Arial" w:cs="Arial"/>
                <w:b/>
                <w:sz w:val="18"/>
                <w:szCs w:val="18"/>
              </w:rPr>
              <w:t xml:space="preserve"> </w:t>
            </w:r>
          </w:p>
          <w:p w:rsidR="006D5469" w:rsidRPr="00EC29F9" w:rsidRDefault="006D5469" w:rsidP="006D5469">
            <w:pPr>
              <w:jc w:val="both"/>
              <w:rPr>
                <w:rFonts w:ascii="Arial" w:hAnsi="Arial" w:cs="Arial"/>
                <w:sz w:val="18"/>
                <w:szCs w:val="18"/>
              </w:rPr>
            </w:pPr>
            <w:r w:rsidRPr="00EC29F9">
              <w:rPr>
                <w:rFonts w:ascii="Arial" w:hAnsi="Arial" w:cs="Arial"/>
                <w:b/>
                <w:sz w:val="18"/>
                <w:szCs w:val="18"/>
              </w:rPr>
              <w:t>REVOCAR</w:t>
            </w:r>
            <w:r w:rsidRPr="00EC29F9">
              <w:rPr>
                <w:rFonts w:ascii="Arial" w:hAnsi="Arial" w:cs="Arial"/>
                <w:sz w:val="18"/>
                <w:szCs w:val="18"/>
              </w:rPr>
              <w:t xml:space="preserve"> el fallo proferido el 19 de enero de 2012 por la Subsección B de la Sección Segunda de la Sala Contencioso Administrativo del Consejo de Estado y en su lugar </w:t>
            </w:r>
            <w:r w:rsidRPr="00EC29F9">
              <w:rPr>
                <w:rFonts w:ascii="Arial" w:hAnsi="Arial" w:cs="Arial"/>
                <w:b/>
                <w:sz w:val="18"/>
                <w:szCs w:val="18"/>
              </w:rPr>
              <w:t>CONFIRMAR</w:t>
            </w:r>
            <w:r w:rsidRPr="00EC29F9">
              <w:rPr>
                <w:rFonts w:ascii="Arial" w:hAnsi="Arial" w:cs="Arial"/>
                <w:sz w:val="18"/>
                <w:szCs w:val="18"/>
              </w:rPr>
              <w:t xml:space="preserve"> la sentencia dictada el 6 de </w:t>
            </w:r>
            <w:r w:rsidRPr="00EC29F9">
              <w:rPr>
                <w:rFonts w:ascii="Arial" w:hAnsi="Arial" w:cs="Arial"/>
                <w:sz w:val="18"/>
                <w:szCs w:val="18"/>
              </w:rPr>
              <w:lastRenderedPageBreak/>
              <w:t>octubre de 2011, proferida por la Sección Primera del Tribunal Administrativa de Cundinamarca, dentro de la acción de tutela promovida por la Unión Temporal de Desarrollo Vial del Valle del Cauca y Cauca contra el Ministerio del Medio Ambiente y Desarrollo Sostenible, mediante las cuales se negó el amparo del derecho al debido proceso administrativo.</w:t>
            </w:r>
          </w:p>
          <w:p w:rsidR="006D5469" w:rsidRPr="00EC29F9" w:rsidRDefault="006D5469" w:rsidP="006D5469">
            <w:pPr>
              <w:jc w:val="both"/>
              <w:rPr>
                <w:rFonts w:ascii="Arial" w:hAnsi="Arial" w:cs="Arial"/>
                <w:sz w:val="18"/>
                <w:szCs w:val="18"/>
              </w:rPr>
            </w:pPr>
            <w:r w:rsidRPr="00EC29F9">
              <w:rPr>
                <w:rFonts w:ascii="Arial" w:hAnsi="Arial" w:cs="Arial"/>
                <w:b/>
                <w:sz w:val="18"/>
                <w:szCs w:val="18"/>
              </w:rPr>
              <w:t>ORDENAR</w:t>
            </w:r>
            <w:r w:rsidRPr="00EC29F9">
              <w:rPr>
                <w:rFonts w:ascii="Arial" w:hAnsi="Arial" w:cs="Arial"/>
                <w:sz w:val="18"/>
                <w:szCs w:val="18"/>
              </w:rPr>
              <w:t xml:space="preserve"> a</w:t>
            </w:r>
            <w:r w:rsidRPr="00EC29F9">
              <w:rPr>
                <w:rFonts w:ascii="Arial" w:hAnsi="Arial" w:cs="Arial"/>
                <w:b/>
                <w:sz w:val="18"/>
                <w:szCs w:val="18"/>
              </w:rPr>
              <w:t xml:space="preserve"> </w:t>
            </w:r>
            <w:r w:rsidRPr="00EC29F9">
              <w:rPr>
                <w:rFonts w:ascii="Arial" w:hAnsi="Arial" w:cs="Arial"/>
                <w:sz w:val="18"/>
                <w:szCs w:val="18"/>
              </w:rPr>
              <w:t>Unión Temporal de Desarrollo Vial del Valle del Cauca y Cauca, dentro de las 48 horas siguientes a la comunicación de esta providencia, vincular a las comunidades negras ubicadas en la zona de influencia del proyecto vial “</w:t>
            </w:r>
            <w:r w:rsidRPr="00EC29F9">
              <w:rPr>
                <w:rFonts w:ascii="Arial" w:hAnsi="Arial" w:cs="Arial"/>
                <w:i/>
                <w:sz w:val="18"/>
                <w:szCs w:val="18"/>
              </w:rPr>
              <w:t xml:space="preserve">Construcción de la segunda calzada Loboguerrero – Mediacanoa Tramo 07 Sector </w:t>
            </w:r>
            <w:smartTag w:uri="urn:schemas-microsoft-com:office:smarttags" w:element="metricconverter">
              <w:smartTagPr>
                <w:attr w:name="ProductID" w:val="1”"/>
              </w:smartTagPr>
              <w:r w:rsidRPr="00EC29F9">
                <w:rPr>
                  <w:rFonts w:ascii="Arial" w:hAnsi="Arial" w:cs="Arial"/>
                  <w:i/>
                  <w:sz w:val="18"/>
                  <w:szCs w:val="18"/>
                </w:rPr>
                <w:t>1</w:t>
              </w:r>
              <w:r w:rsidRPr="00EC29F9">
                <w:rPr>
                  <w:rFonts w:ascii="Arial" w:hAnsi="Arial" w:cs="Arial"/>
                  <w:sz w:val="18"/>
                  <w:szCs w:val="18"/>
                </w:rPr>
                <w:t>”</w:t>
              </w:r>
            </w:smartTag>
            <w:r w:rsidRPr="00EC29F9">
              <w:rPr>
                <w:rFonts w:ascii="Arial" w:hAnsi="Arial" w:cs="Arial"/>
                <w:sz w:val="18"/>
                <w:szCs w:val="18"/>
              </w:rPr>
              <w:t>, kilómetro 63+300 hasta el 81+00, localizado en los municipios de Dagua y Restrepo, de conformidad con lo que establece el parágrafo 1º del artículo 3 del Decreto 1320 de 1998.</w:t>
            </w:r>
          </w:p>
          <w:p w:rsidR="006D5469" w:rsidRPr="00EC29F9" w:rsidRDefault="006D5469" w:rsidP="006D5469">
            <w:pPr>
              <w:jc w:val="both"/>
              <w:rPr>
                <w:rFonts w:ascii="Arial" w:hAnsi="Arial" w:cs="Arial"/>
                <w:sz w:val="18"/>
                <w:szCs w:val="18"/>
              </w:rPr>
            </w:pPr>
          </w:p>
          <w:p w:rsidR="006D5469" w:rsidRPr="00EC29F9" w:rsidRDefault="006D5469" w:rsidP="006D5469">
            <w:pPr>
              <w:jc w:val="both"/>
              <w:rPr>
                <w:rFonts w:ascii="Arial" w:hAnsi="Arial" w:cs="Arial"/>
                <w:sz w:val="18"/>
                <w:szCs w:val="18"/>
              </w:rPr>
            </w:pPr>
            <w:r w:rsidRPr="00EC29F9">
              <w:rPr>
                <w:rFonts w:ascii="Arial" w:hAnsi="Arial" w:cs="Arial"/>
                <w:sz w:val="18"/>
                <w:szCs w:val="18"/>
              </w:rPr>
              <w:lastRenderedPageBreak/>
              <w:t>Por Secretaría General,</w:t>
            </w:r>
            <w:r w:rsidRPr="00EC29F9">
              <w:rPr>
                <w:rFonts w:ascii="Arial" w:hAnsi="Arial" w:cs="Arial"/>
                <w:b/>
                <w:sz w:val="18"/>
                <w:szCs w:val="18"/>
              </w:rPr>
              <w:t xml:space="preserve"> COMUNICAR</w:t>
            </w:r>
            <w:r w:rsidRPr="00EC29F9">
              <w:rPr>
                <w:rFonts w:ascii="Arial" w:hAnsi="Arial" w:cs="Arial"/>
                <w:sz w:val="18"/>
                <w:szCs w:val="18"/>
              </w:rPr>
              <w:t xml:space="preserve"> al Ministerio del Interior – Oficina de Consulta Previa de la presente providencia, con el fin de que dentro de las 48 horas siguientes a tal comunicación, disponga el acompañamiento del proceso de consulta previa de las comunidades negras ubicadas en la zona de influencia del proyecto vial “</w:t>
            </w:r>
            <w:r w:rsidRPr="00EC29F9">
              <w:rPr>
                <w:rFonts w:ascii="Arial" w:hAnsi="Arial" w:cs="Arial"/>
                <w:i/>
                <w:sz w:val="18"/>
                <w:szCs w:val="18"/>
              </w:rPr>
              <w:t xml:space="preserve">Construcción de la segunda calzada Loboguerrero – Mediacanoa Tramo 07 Sector </w:t>
            </w:r>
            <w:smartTag w:uri="urn:schemas-microsoft-com:office:smarttags" w:element="metricconverter">
              <w:smartTagPr>
                <w:attr w:name="ProductID" w:val="1”"/>
              </w:smartTagPr>
              <w:r w:rsidRPr="00EC29F9">
                <w:rPr>
                  <w:rFonts w:ascii="Arial" w:hAnsi="Arial" w:cs="Arial"/>
                  <w:i/>
                  <w:sz w:val="18"/>
                  <w:szCs w:val="18"/>
                </w:rPr>
                <w:t>1</w:t>
              </w:r>
              <w:r w:rsidRPr="00EC29F9">
                <w:rPr>
                  <w:rFonts w:ascii="Arial" w:hAnsi="Arial" w:cs="Arial"/>
                  <w:sz w:val="18"/>
                  <w:szCs w:val="18"/>
                </w:rPr>
                <w:t>”</w:t>
              </w:r>
            </w:smartTag>
            <w:r w:rsidRPr="00EC29F9">
              <w:rPr>
                <w:rFonts w:ascii="Arial" w:hAnsi="Arial" w:cs="Arial"/>
                <w:sz w:val="18"/>
                <w:szCs w:val="18"/>
              </w:rPr>
              <w:t>, kilómetro 63+300 hasta el 81+00, localizado en los municipios de Dagua y Restrepo, de conformidad con lo que establece el parágrafo 1º del artículo 3 del Decreto 1320 de 1998, con el fin de garantizar sus derechos.</w:t>
            </w:r>
          </w:p>
          <w:p w:rsidR="006D5469" w:rsidRPr="00EC29F9" w:rsidRDefault="006D5469" w:rsidP="006D5469">
            <w:pPr>
              <w:jc w:val="both"/>
              <w:rPr>
                <w:rFonts w:ascii="Arial" w:eastAsia="Batang" w:hAnsi="Arial" w:cs="Arial"/>
                <w:color w:val="FF0000"/>
                <w:sz w:val="18"/>
                <w:szCs w:val="18"/>
              </w:rPr>
            </w:pPr>
          </w:p>
        </w:tc>
      </w:tr>
      <w:tr w:rsidR="006D5469" w:rsidRPr="00EC29F9" w:rsidTr="00536F35">
        <w:trPr>
          <w:trHeight w:val="441"/>
        </w:trPr>
        <w:tc>
          <w:tcPr>
            <w:tcW w:w="17787" w:type="dxa"/>
            <w:gridSpan w:val="4"/>
          </w:tcPr>
          <w:p w:rsidR="006D5469" w:rsidRPr="00EC29F9" w:rsidRDefault="006D5469" w:rsidP="006D5469">
            <w:pPr>
              <w:jc w:val="both"/>
              <w:rPr>
                <w:rFonts w:ascii="Arial" w:hAnsi="Arial" w:cs="Arial"/>
                <w:color w:val="FF0000"/>
                <w:sz w:val="18"/>
                <w:szCs w:val="18"/>
              </w:rPr>
            </w:pPr>
            <w:r w:rsidRPr="00EC29F9">
              <w:rPr>
                <w:rFonts w:ascii="Arial" w:hAnsi="Arial" w:cs="Arial"/>
                <w:b/>
                <w:sz w:val="18"/>
                <w:szCs w:val="18"/>
              </w:rPr>
              <w:lastRenderedPageBreak/>
              <w:t xml:space="preserve">COMENTARIO: </w:t>
            </w:r>
            <w:r w:rsidRPr="00EC29F9">
              <w:rPr>
                <w:rFonts w:ascii="Arial" w:hAnsi="Arial" w:cs="Arial"/>
                <w:sz w:val="18"/>
                <w:szCs w:val="18"/>
              </w:rPr>
              <w:t>En ejercicio del derecho fundamental a la consulta previa las comunidades negras que gozan de una especial protección constitucional, por la estrecha relación que guarda su integridad cultural, social y económica con los territorios en los que habitan, deben ser incluidas en por las empresas que pretendan realizar cualquier tipo de explotación en dichos territorios,  en los estudios de impacto ambiental y durante todo el desarrollo del trámite para obtener la licencia ambiental, pues tales actividades pueden ir en desmedro de la comunidad. Ello con el fin de que las comunidades étnicas que pueden verse directamente afectadas con la explotación participen en la toma de decisiones al respecto y se asegure los usos de la tierra y la protección de los recursos naturales. Por lo que la importancia que reviste la participación de las comunidades negras en el trámite de licencia ambiental para la explotación de recursos que se encuentren en los territorios en los que habitan, se debe a que dicha participación constituye una garantía de la identidad cultural, la autonomía de estas comunidades y la legitimidad de las medidas que se adopten.  La consulta previa debe realizarse no solo en zonas de propiedad colectiva de titularidad de las comunidades negras sino también sobre zonas que, a pesar de no ser de titularidad de dichas comunidades, sean habitadas de manera permanente y regular por éstas.</w:t>
            </w:r>
          </w:p>
        </w:tc>
      </w:tr>
    </w:tbl>
    <w:p w:rsidR="006D5469" w:rsidRPr="00EC29F9" w:rsidRDefault="006D5469" w:rsidP="006D5469">
      <w:pPr>
        <w:jc w:val="both"/>
        <w:rPr>
          <w:rFonts w:ascii="Arial" w:hAnsi="Arial" w:cs="Arial"/>
          <w:b/>
          <w:color w:val="FF0000"/>
          <w:sz w:val="18"/>
          <w:szCs w:val="18"/>
        </w:rPr>
      </w:pPr>
    </w:p>
    <w:p w:rsidR="006D5469" w:rsidRPr="00EC29F9" w:rsidRDefault="006D5469" w:rsidP="006D5469">
      <w:pPr>
        <w:jc w:val="both"/>
        <w:rPr>
          <w:rFonts w:ascii="Arial" w:hAnsi="Arial" w:cs="Arial"/>
          <w:b/>
          <w:color w:val="FF0000"/>
          <w:sz w:val="18"/>
          <w:szCs w:val="18"/>
        </w:rPr>
      </w:pPr>
    </w:p>
    <w:p w:rsidR="00001785" w:rsidRPr="00EC29F9" w:rsidRDefault="00EC29F9" w:rsidP="006D5469">
      <w:pPr>
        <w:jc w:val="both"/>
        <w:rPr>
          <w:rFonts w:ascii="Arial" w:hAnsi="Arial" w:cs="Arial"/>
          <w:sz w:val="18"/>
          <w:szCs w:val="18"/>
        </w:rPr>
      </w:pPr>
    </w:p>
    <w:sectPr w:rsidR="00001785" w:rsidRPr="00EC29F9" w:rsidSect="00A27814">
      <w:pgSz w:w="20160" w:h="12240" w:orient="landscape" w:code="5"/>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B03C26"/>
    <w:multiLevelType w:val="multilevel"/>
    <w:tmpl w:val="28824A32"/>
    <w:lvl w:ilvl="0">
      <w:start w:val="1"/>
      <w:numFmt w:val="decimal"/>
      <w:pStyle w:val="Ttulo2"/>
      <w:lvlText w:val="%1."/>
      <w:lvlJc w:val="left"/>
      <w:pPr>
        <w:ind w:left="720" w:hanging="360"/>
      </w:pPr>
      <w:rPr>
        <w:rFonts w:cs="Times New Roman"/>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469"/>
    <w:rsid w:val="004A23DD"/>
    <w:rsid w:val="006D5469"/>
    <w:rsid w:val="00AF240F"/>
    <w:rsid w:val="00EC29F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25617529-0564-424A-BA93-9CF320E53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6D5469"/>
    <w:pPr>
      <w:spacing w:after="200" w:line="276" w:lineRule="auto"/>
    </w:pPr>
    <w:rPr>
      <w:rFonts w:eastAsiaTheme="minorEastAsia"/>
      <w:lang w:eastAsia="es-CO"/>
    </w:rPr>
  </w:style>
  <w:style w:type="paragraph" w:styleId="Ttulo2">
    <w:name w:val="heading 2"/>
    <w:basedOn w:val="Normal"/>
    <w:next w:val="Normal"/>
    <w:link w:val="Ttulo2Car"/>
    <w:uiPriority w:val="9"/>
    <w:qFormat/>
    <w:rsid w:val="006D5469"/>
    <w:pPr>
      <w:keepNext/>
      <w:keepLines/>
      <w:numPr>
        <w:numId w:val="1"/>
      </w:numPr>
      <w:spacing w:after="0" w:line="240" w:lineRule="auto"/>
      <w:jc w:val="both"/>
      <w:outlineLvl w:val="1"/>
    </w:pPr>
    <w:rPr>
      <w:rFonts w:ascii="Times New Roman" w:eastAsia="Times New Roman" w:hAnsi="Times New Roman" w:cs="Times New Roman"/>
      <w:b/>
      <w:bCs/>
      <w:color w:val="000000"/>
      <w:sz w:val="28"/>
      <w:szCs w:val="26"/>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6D5469"/>
    <w:rPr>
      <w:rFonts w:ascii="Times New Roman" w:eastAsia="Times New Roman" w:hAnsi="Times New Roman" w:cs="Times New Roman"/>
      <w:b/>
      <w:bCs/>
      <w:color w:val="000000"/>
      <w:sz w:val="28"/>
      <w:szCs w:val="26"/>
      <w:lang w:val="es-ES" w:eastAsia="es-ES"/>
    </w:rPr>
  </w:style>
  <w:style w:type="table" w:styleId="Tablaconcuadrcula">
    <w:name w:val="Table Grid"/>
    <w:basedOn w:val="Tablanormal"/>
    <w:uiPriority w:val="59"/>
    <w:rsid w:val="006D5469"/>
    <w:pPr>
      <w:spacing w:after="0" w:line="240" w:lineRule="auto"/>
    </w:pPr>
    <w:rPr>
      <w:rFonts w:eastAsiaTheme="minorEastAsia"/>
      <w:lang w:eastAsia="es-CO"/>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independiente">
    <w:name w:val="Body Text"/>
    <w:basedOn w:val="Normal"/>
    <w:link w:val="TextoindependienteCar"/>
    <w:rsid w:val="006D5469"/>
    <w:pPr>
      <w:spacing w:after="0" w:line="360" w:lineRule="auto"/>
      <w:jc w:val="both"/>
    </w:pPr>
    <w:rPr>
      <w:rFonts w:ascii="Arial" w:eastAsia="Times New Roman" w:hAnsi="Arial" w:cs="Times New Roman"/>
      <w:sz w:val="28"/>
      <w:szCs w:val="24"/>
      <w:lang w:val="x-none" w:eastAsia="es-ES"/>
    </w:rPr>
  </w:style>
  <w:style w:type="character" w:customStyle="1" w:styleId="TextoindependienteCar">
    <w:name w:val="Texto independiente Car"/>
    <w:basedOn w:val="Fuentedeprrafopredeter"/>
    <w:link w:val="Textoindependiente"/>
    <w:rsid w:val="006D5469"/>
    <w:rPr>
      <w:rFonts w:ascii="Arial" w:eastAsia="Times New Roman" w:hAnsi="Arial" w:cs="Times New Roman"/>
      <w:sz w:val="28"/>
      <w:szCs w:val="24"/>
      <w:lang w:val="x-none"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4251</Words>
  <Characters>23386</Characters>
  <Application>Microsoft Office Word</Application>
  <DocSecurity>0</DocSecurity>
  <Lines>194</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PAOLA.MONTES</dc:creator>
  <cp:keywords/>
  <dc:description/>
  <cp:lastModifiedBy>PAOLA.MONTES</cp:lastModifiedBy>
  <cp:revision>2</cp:revision>
  <dcterms:created xsi:type="dcterms:W3CDTF">2017-06-09T16:03:00Z</dcterms:created>
  <dcterms:modified xsi:type="dcterms:W3CDTF">2017-06-09T16:08:00Z</dcterms:modified>
</cp:coreProperties>
</file>